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306 VAG 2016 — Betreten und Durchsuchung von Räumen; Sicherstellung</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Die Aufsichtsbehörde ist befugt,</w:t>
      </w:r>
    </w:p>
    <w:p>
      <w:pPr>
        <w:ind w:left="420"/>
      </w:pPr>
      <w:r>
        <w:t xml:space="preserve">1. auch ohne besonderen Anlass in den Geschäftsräumen der Versicherungsunternehmen Prüfungen des Geschäftsbetriebs vorzunehmen; dabei darf sie im Rahmen der Gruppenaufsicht nach Teil 5 Prüfungen der Informationen nach § 305 Absatz 1 Nummer 2 und § 284 auch bei dem Versicherungsunternehmen, das der Gruppenaufsicht unterliegt, bei verbundenen Unternehmen dieses Versicherungsunternehmens, bei Mutterunternehmen dieses Versicherungsunternehmens und bei verbundenen Unternehmen eines Mutterunternehmens dieses Versicherungsunternehmens vornehmen;</w:t>
      </w:r>
    </w:p>
    <w:p>
      <w:pPr>
        <w:ind w:left="420"/>
      </w:pPr>
      <w:r>
        <w:t xml:space="preserve">2. Prüfungen auch so vorzunehmen, dass sie an einer von dem Versicherungsunternehmen nach § 341k des Handelsgesetzbuchs veranlassten Prüfung teilnimmt und selbst die Feststellungen trifft, die sie für nötig hält; dies gilt nicht für Versicherungsunternehmen, die als kleinere Vereine anerkannt sind;</w:t>
      </w:r>
    </w:p>
    <w:p>
      <w:pPr>
        <w:ind w:left="420"/>
      </w:pPr>
      <w:r>
        <w:t xml:space="preserve">3. an von ihr durchgeführten Prüfungen nach den Nummern 1 und 2 Personen zu beteiligen, die nach § 341k in Verbindung mit § 319 des Handelsgesetzbuchs zu Abschlussprüfern bestimmt werden können, oder diese Personen mit der Durchführung von Prüfungen nach den Nummern 1 und 2 zu beauftragen; für diese Personen gilt die Bestimmung des § 323 des Handelsgesetzbuchs für Abschlussprüfer sinngemäß;</w:t>
      </w:r>
    </w:p>
    <w:p>
      <w:pPr>
        <w:ind w:left="420"/>
      </w:pPr>
      <w:r>
        <w:t xml:space="preserve">4. zu Sitzungen des Aufsichtsrats und Tagungen der Hauptversammlung oder der obersten Vertretung Vertreter zu entsenden, denen auf Verlangen das Wort zu erteilen ist und</w:t>
      </w:r>
    </w:p>
    <w:p>
      <w:pPr>
        <w:ind w:left="420"/>
      </w:pPr>
      <w:r>
        <w:t xml:space="preserve">5. die Einberufung der in Nummer 4 bezeichneten Sitzungen und Tagungen sowie die Ankündigung von Gegenständen zur Beschlussfassung zu verlangen.</w:t>
      </w:r>
    </w:p>
    <w:p>
      <w:r>
        <w:t xml:space="preserve">In den Fällen der virtuellen Hauptversammlung nach § 118a des Aktiengesetzes und der virtuellen obersten Vertretung sind die Vertreter im Wege der Videokommunikation zu der Versammlung zuzuschalten und ihnen ist auf Verlangen über die Videokommunikation das Wort zu erteilen. Nach § 130a Absatz 1 und 2 des Aktiengesetzes eingereichte Stellungnahmen, nach § 131 Absatz 1a und 1b des Aktiengesetzes eingereichte Fragen sowie die zu diesen Fragen vor der Versammlung gegebenen Antworten sind den Vertretern zugänglich zu machen. Die Vertreter dürfen anstelle der Zuschaltung im Wege der Videokommunikation am Ort der Hauptversammlung teilnehmen, sofern sie dies für erforderlich halten. Im Hinblick auf eine Angleichung der bewährten Aufsichtspraktiken haben die Mitarbeiter der Europäischen Aufsichtsbehörde für das Versicherungswesen und die betriebliche Altersversorgung gemäß Artikel 21 Absatz 1 der Verordnung (EU) Nr. 1094/2010 des Europäischen Parlaments und des Rates vom 24. November 2010 zur Errichtung einer Europäischen Aufsichtsbehörde (Europäische Aufsichtsbehörde für das Versicherungswesen und die betriebliche Altersversorgung), zur Änderung des Beschlusses Nr. 716/2009/EG und zur Aufhebung des Beschlusses 2009/79/EG der Kommission (ABl. L 331 vom 15.12.2010, S. 48) das Recht, sich an Prüfungen der in der Richtlinie 2009/138/EG genannten Aufsichtskollegien in den Geschäftsräumen der Versicherungsunternehmen zu beteiligen, die gemeinsam von der Aufsichtsbehörde und mindestens einer zuständigen Behörde eines anderen Mitglied- oder Vertragsstaats durchgeführt werden.</w:t>
      </w:r>
    </w:p>
    <w:p>
      <w:r>
        <w:t xml:space="preserve">(2) Die Aufsichtsbehörde hat die Rechte nach Absatz 1 Satz 1 Nummer 1 und 3 auch gegenüber</w:t>
      </w:r>
    </w:p>
    <w:p>
      <w:pPr>
        <w:ind w:left="420"/>
      </w:pPr>
      <w:r>
        <w:t xml:space="preserve">1. Personen und Unternehmen, die als Versicherungsvertreter oder Versicherungsmakler an ein Versicherungsunternehmen Versicherungsverträge vermitteln oder vermittelt haben,</w:t>
      </w:r>
    </w:p>
    <w:p>
      <w:pPr>
        <w:ind w:left="420"/>
      </w:pPr>
      <w:r>
        <w:t xml:space="preserve">2. Personen und Unternehmen, auf die ein Versicherungsunternehmen Funktionen oder Tätigkeiten ausgegliedert hat,</w:t>
      </w:r>
    </w:p>
    <w:p>
      <w:pPr>
        <w:ind w:left="420"/>
      </w:pPr>
      <w:r>
        <w:t xml:space="preserve">3. Personen und Unternehmen, die eine Beteiligungsabsicht nach § 17 Absatz 1 Nummer 1 angezeigt haben oder die im Rahmen eines Erlaubnisantrags nach § 9 als Inhaber bedeutender Beteiligungen angegeben werden,</w:t>
      </w:r>
    </w:p>
    <w:p>
      <w:pPr>
        <w:ind w:left="420"/>
      </w:pPr>
      <w:r>
        <w:t xml:space="preserve">4. den Inhabern einer bedeutenden Beteiligung an einem Versicherungsunternehmen und den von ihnen kontrollierten Unternehmen,</w:t>
      </w:r>
    </w:p>
    <w:p>
      <w:pPr>
        <w:ind w:left="420"/>
      </w:pPr>
      <w:r>
        <w:t xml:space="preserve">5. Personen und Unternehmen, bei denen Tatsachen die Annahme rechtfertigen, dass es sich um Personen oder Unternehmen im Sinne der Nummer 4 handelt, und</w:t>
      </w:r>
    </w:p>
    <w:p>
      <w:pPr>
        <w:ind w:left="420"/>
      </w:pPr>
      <w:r>
        <w:t xml:space="preserve">6. Personen und Unternehmen, die mit einer Person oder einem Unternehmen im Sinne der Nummern 3 bis 5 nach § 15 des Aktiengesetzes verbunden sind.</w:t>
      </w:r>
    </w:p>
    <w:p>
      <w:r>
        <w:t xml:space="preserve">Für die Fälle des Satzes 1 Nummer 1 gilt dies nur insoweit, als es für die Beurteilung des Geschäftsbetriebs und der Vermögenslage des Versicherungsunternehmens oder der Erfüllung der Pflichten nach den §§ 53 bis 56 oder den Vorschriften des Geldwäschegesetzes durch ein Versicherungsunternehmen im Sinne des § 52 bedeutsam ist. Gegenüber den in Satz 1 Nummer 3 bis 6 genannten Personen und Unternehmen kann die Aufsichtsbehörde Maßnahmen nach Absatz 1 Satz 1 Nummer 4 und 5 ergreifen, wenn Anhaltspunkte für einen Untersagungsgrund nach § 18 Absatz 1 Nummer 1 bis 6 und Absatz 2 vorliegen.</w:t>
      </w:r>
    </w:p>
    <w:p>
      <w:r>
        <w:t xml:space="preserve">(3) Beabsichtigt die Aufsichtsbehörde in Wahrnehmung der Finanzaufsicht in den Geschäftsräumen einer Niederlassung nach § 58, einer Niederlassung eines Rückversicherungsunternehmens oder in den Geschäftsräumen eines Dienstleisters, auf den ein Versicherungsunternehmen Tätigkeiten ausgegliedert hat, durch eigenes Personal oder durch Beauftragte Prüfungen vorzunehmen, so unterrichtet sie hiervon die Aufsichtsbehörde des anderen Mitglied- oder Vertragsstaats. Wird der Aufsichtsbehörde untersagt, ihr Recht auf Durchführung dieser Prüfungen vor Ort wahrzunehmen oder ist es ihr tatsächlich nicht möglich, an der Prüfung teilzunehmen, kann sie gemäß Artikel 19 der Verordnung (EU) Nr. 1094/2010 die Europäische Aufsichtsbehörde für das Versicherungswesen und die betriebliche Altersversorgung mit der Angelegenheit befassen und um Unterstützung bitten. Die Aufsichtsbehörde kann die Prüfung eines Dienstleisters an die Aufsichtsbehörde des Mitglied- oder Vertragsstaats delegieren, in dem der Dienstleister ansässig ist.</w:t>
      </w:r>
    </w:p>
    <w:p>
      <w:r>
        <w:t xml:space="preserve">(4) Die Bediensteten der Aufsichtsbehörde und die nach Absatz 1 Satz 1 Nummer 3 beteiligten oder beauftragten Personen dürfen für Prüfungen nach Absatz 1 Satz 1 Nummer 1 und 2 in den Fällen des Absatzes 1 Satz 1 Nummer 4 die Geschäftsräume des geprüften Unternehmens innerhalb der üblichen Betriebs- und Geschäftszeiten betreten und besichtigen. Zur Verhütung dringender Gefahren für die öffentliche Sicherheit und Ordnung dürfen sie diese Räume auch außerhalb der üblichen Betriebs- und Geschäftszeiten betreten und besichtigen; unter dieser Voraussetzung dürfen sie auch Räume betreten und besichtigen, die zugleich als Wohnung dienen.</w:t>
      </w:r>
    </w:p>
    <w:p>
      <w:r>
        <w:t xml:space="preserve">(5) Die Bediensteten der Bundesanstalt dürfen die Räume der nach § 305 Absatz 1 auskunfts- und vorlegungspflichtigen Unternehmen sowie von deren Organmitgliedern auch nach ihrem Ausscheiden durchsuchen, wenn Tatsachen die Annahme rechtfertigen, dass das Unternehmen oder das Organmitglied entgegen einer Bestimmung dieses Gesetzes oder einer vollziehbaren Einzelfallregelung auf Grundlage dieses Gesetzes die Aufklärung eines für die Aufsicht nach Maßgabe dieses Gesetzes entscheidungsrelevanten Sachverhalts beeinträchtigt, gefährdet oder verzögert, dadurch dass es</w:t>
      </w:r>
    </w:p>
    <w:p>
      <w:pPr>
        <w:ind w:left="420"/>
      </w:pPr>
      <w:r>
        <w:t xml:space="preserve">1. Angaben nicht, nicht richtig, nicht vollständig oder nicht rechtzeitig macht oder</w:t>
      </w:r>
    </w:p>
    <w:p>
      <w:pPr>
        <w:ind w:left="420"/>
      </w:pPr>
      <w:r>
        <w:t xml:space="preserve">2. Unterlagen nicht, nicht richtig, nicht vollständig oder nicht rechtzeitig vorlegt.</w:t>
      </w:r>
    </w:p>
    <w:p>
      <w:r>
        <w:t xml:space="preserve">Die Durchsuchungen sind, außer bei Gefahr im Verzug, durch den Richter anzuordnen. Bei Gefahr im Verzug kann die Einsatzleitung der Bundesanstalt die Anordnung treffen, soweit nicht lediglich mit einer nur unerheblichen Verzögerung zu rechnen ist. Durchsuchungen von Räumen, die als Wohnung dienen, sind immer durch den Richter anzuordnen. Das Grundrecht auf Unverletzlichkeit der Wohnung (Artikel 13 Absatz 1 des Grundgesetzes) wird insoweit eingeschränkt. Zuständig ist das Amtsgericht, in dessen Bezirk sich die Räume befinden. Gegen die richterliche Entscheidung ist die Beschwerde zulässig; die §§ 306 bis 310 und 311a der Strafprozessordnung gelten entsprechend. Über die Durchsuchung ist eine Niederschrift zu fertigen. Sie muss die verantwortliche Dienststelle, Grund, Zeit und Ort der Durchsuchung und ihr Ergebnis und, falls keine richterliche Anordnung ergangen ist, auch die Tatsachen, welche die Annahme einer Gefahr im Verzug begründet haben, enthalten.</w:t>
      </w:r>
    </w:p>
    <w:p>
      <w:r>
        <w:t xml:space="preserve">(6) Die Bediensteten der Aufsichtsbehörde können Gegenstände sicherstellen, die als Beweismittel für die Ermittlung des Sachverhalts von Bedeutung sein können. Werden die Gegenstände für das Verwaltungsverfahren nicht mehr benötigt, so werden diese an den letzten Gewahrsamsinhaber herausgegeben.</w:t>
      </w:r>
    </w:p>
    <w:p>
      <w:r>
        <w:t xml:space="preserve">(7) Die Betroffenen haben Maßnahmen nach Absatz 1 Satz 1 Nummer 1 bis 3, Satz 2 sowie nach den Absätzen 2, 4, 5 und 6 zu dulden. Das Grundrecht auf Unverletzlichkeit der Wohnung (Artikel 13 Absatz 1 des Grundgesetzes) wird insoweit eingeschränkt.</w:t>
      </w:r>
    </w:p>
    <w:p>
      <w:r>
        <w:rPr>
          <w:color w:val="555555"/>
          <w:sz w:val="17"/>
        </w:rPr>
        <w:t xml:space="preserve">Zitiervorschlag: § 306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306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