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305a VAG 2016 — Befugnisse und Maßnahmen gegen beaufsichtigte Kontributoren und Verwender von Indizes im Sinne der Verordnung (EU) 2016/1011</w:t>
      </w:r>
    </w:p>
    <w:p>
      <w:r>
        <w:rPr>
          <w:color w:val="555555"/>
          <w:sz w:val="18"/>
        </w:rPr>
        <w:t xml:space="preserve">Versicherungsaufsichtsgesetz</w:t>
      </w:r>
    </w:p>
    <w:p>
      <w:r>
        <w:rPr>
          <w:color w:val="555555"/>
          <w:sz w:val="18"/>
        </w:rPr>
        <w:t xml:space="preserve">Stand: 01.12.2021 (konsolidierte Textfassung, kein amtliches Inkrafttretensdatum)</w:t>
      </w:r>
    </w:p>
    <w:p>
      <w:r>
        <w:t xml:space="preserve">(1) Die Aufsichtsbehörde kann Personen, die an der Bereitstellung eines Referenzwerts im Sinne der Verordnung (EU) 2016/1011 beteiligt sind oder dazu beitragen, laden und vernehmen, soweit dies auf Grund von Anhaltspunkten für die Überwachung der Einhaltung eines Verbots oder Gebots der Verordnung (EU) 2016/1011 erforderlich ist. Gesetzliche Auskunfts- oder Aussageverweigerungsrechte sowie gesetzliche Verschwiegenheitspflichten bleiben unberührt.</w:t>
      </w:r>
    </w:p>
    <w:p>
      <w:r>
        <w:t xml:space="preserve">(2) Die Aufsichtsbehörde kann von beaufsichtigten Unternehmen im Sinne des Artikels 3 Absatz 1 Nummer 17 der Verordnung (EU) 2016/1011 die Herausgabe von in deren Besitz befindlichen, bereits existierenden</w:t>
      </w:r>
    </w:p>
    <w:p>
      <w:pPr>
        <w:ind w:left="420"/>
      </w:pPr>
      <w:r>
        <w:t xml:space="preserve">1. Aufzeichnungen von Telefongesprächen,</w:t>
      </w:r>
    </w:p>
    <w:p>
      <w:pPr>
        <w:ind w:left="420"/>
      </w:pPr>
      <w:r>
        <w:t xml:space="preserve">2. elektronischen Mitteilungen oder</w:t>
      </w:r>
    </w:p>
    <w:p>
      <w:pPr>
        <w:ind w:left="420"/>
      </w:pPr>
      <w:r>
        <w:t xml:space="preserve">3. Verkehrsdaten im Sinne des § 3 Nummer 70 des Telekommunikationsgesetzes</w:t>
      </w:r>
    </w:p>
    <w:p>
      <w:r>
        <w:t xml:space="preserve">verlangen, soweit dies auf Grund von Anhaltspunkten für die Überwachung der Einhaltung eines Verbots oder Gebots nach Artikel 16 Absatz 1 bis 4, Artikel 23 Absatz 3 Satz 1, Absatz 5, 6 und 10, Artikel 28 Absatz 2 und Artikel 29 der Verordnung (EU) 2016/1011 erforderlich ist. Das Briefgeheimnis sowie das Post- und Fernmeldegeheimnis nach Artikel 10 des Grundgesetzes werden insoweit eingeschränkt.</w:t>
      </w:r>
    </w:p>
    <w:p>
      <w:r>
        <w:t xml:space="preserve">(3) Im Falle eines Verstoßes gegen Vorschriften der Verordnung (EU) 2016/1011 sowie gegen auf deren Grundlage erlassene delegierte Rechtsakte und Durchführungsrechtsakte der Europäischen Kommission kann die Aufsichtsbehörde zur Verhinderung weiterer Verstöße für einen Zeitraum von bis zu zwei Jahren die Einstellung der den Verstoß begründenden Handlungen oder Verhaltensweisen verlangen.</w:t>
      </w:r>
    </w:p>
    <w:p>
      <w:r>
        <w:t xml:space="preserve">(4) Die Aufsichtsbehörde kann die Beschlagnahme von Vermögenswerten beantragen, soweit dies zur Durchsetzung der Verbote und Gebote der Verordnung (EU) 2016/1011 geboten ist. Maßnahmen nach Satz 1 sind durch den Richter anzuordnen. Zuständig ist das Amtsgericht Frankfurt am Main. Gegen eine richterliche Entscheidung ist die Beschwerde zulässig; die §§ 306 bis 310 und 311a der Strafprozessordnung gelten entsprechend.</w:t>
      </w:r>
    </w:p>
    <w:p>
      <w:r>
        <w:t xml:space="preserve">(5) Die Aufsichtsbehörde kann Anordnungen treffen, die zur Durchsetzung der Verbote und Gebote der Verordnung (EU) 2016/1011 sowie der auf deren Grundlage erlassenen delegierten Rechtsakte und Durchführungsrechtakte der Europäischen Kommission geeignet und erforderlich sind. Insbesondere kann sie</w:t>
      </w:r>
    </w:p>
    <w:p>
      <w:pPr>
        <w:ind w:left="420"/>
      </w:pPr>
      <w:r>
        <w:t xml:space="preserve">1. von Kontributoren, die an Spotmärkten tätig sind und dabei Daten zur Erstellung eines Rohstoff-Referenzwertes bereitstellen, Auskünfte und die Meldung von Geschäften verlangen, soweit dies zur Überwachung der Einhaltung der Gebote und Verbote der Verordnung (EU) 2016/1011 in Bezug auf diese Rohstoff-Referenzwerte erforderlich ist;</w:t>
      </w:r>
    </w:p>
    <w:p>
      <w:pPr>
        <w:ind w:left="420"/>
      </w:pPr>
      <w:r>
        <w:t xml:space="preserve">2. bei einem Verstoß gegen die Artikel 16, 23 Absatz 3 Satz 1, Absatz 5, 6 und 10, Artikel 28 Absatz 2 und Artikel 29 der Verordnung (EU) 2016/1011 oder gegen eine Anordnung der Aufsichtsbehörde, die im Zusammenhang mit einer Untersuchung betreffend die Einhaltung der Pflichten nach dieser Verordnung gemäß Absatz 1 oder 2 ergangen und vollziehbar ist,</w:t>
      </w:r>
    </w:p>
    <w:p>
      <w:pPr>
        <w:ind w:left="780"/>
      </w:pPr>
      <w:r>
        <w:t xml:space="preserve">a) von einem beaufsichtigten Unternehmen im Sinne des Artikels 3 Absatz 1 Nummer 17 dieser Verordnung eine dauerhafte Einstellung der den Verstoß begründenden Handlungen oder Verhaltensweisen sowie eine Verhinderung von deren Wiederholung verlangen;</w:t>
      </w:r>
    </w:p>
    <w:p>
      <w:pPr>
        <w:ind w:left="780"/>
      </w:pPr>
      <w:r>
        <w:t xml:space="preserve">b) bezüglich eines beaufsichtigten Unternehmens im Sinne des Artikels 3 Absatz 1 Nummer 17 dieser Verordnung eine Warnung unter Nennung der natürlichen oder juristischen Person oder der Personenvereinigung, die den Verstoß begangen hat, sowie der Art des Verstoßes veröffentlichen; § 319a Absatz 3 und 5 gilt entsprechend;</w:t>
      </w:r>
    </w:p>
    <w:p>
      <w:pPr>
        <w:ind w:left="780"/>
      </w:pPr>
      <w:r>
        <w:t xml:space="preserve">c) einer Person für einen Zeitraum von bis zu zwei Jahren die Wahrnehmung von Führungsaufgaben bei einem Administrator oder beaufsichtigten Kontributor untersagen, wenn diese den Verstoß vorsätzlich begangen hat und das Verhalten trotz Verwarnung durch die Aufsichtsbehörde fortsetzt.</w:t>
      </w:r>
    </w:p>
    <w:p>
      <w:r>
        <w:rPr>
          <w:color w:val="555555"/>
          <w:sz w:val="17"/>
        </w:rPr>
        <w:t xml:space="preserve">Zitiervorschlag: § 305a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https://recht.nulegal.eu/gesetze/VAG%202016/305a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