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304 VAG 2016 — Widerruf der Erlaubnis</w:t>
      </w:r>
    </w:p>
    <w:p>
      <w:r>
        <w:rPr>
          <w:color w:val="555555"/>
          <w:sz w:val="18"/>
        </w:rPr>
        <w:t xml:space="preserve">Versicherungsaufsichtsgesetz</w:t>
      </w:r>
    </w:p>
    <w:p>
      <w:r>
        <w:rPr>
          <w:color w:val="555555"/>
          <w:sz w:val="18"/>
        </w:rPr>
        <w:t xml:space="preserve">Stand: 29.12.2020 (konsolidierte Textfassung, kein amtliches Inkrafttretensdatum)</w:t>
      </w:r>
    </w:p>
    <w:p>
      <w:r>
        <w:t xml:space="preserve">(1) Die Erlaubnis zum Geschäftsbetrieb ist zu widerrufen,</w:t>
      </w:r>
    </w:p>
    <w:p>
      <w:pPr>
        <w:ind w:left="420"/>
      </w:pPr>
      <w:r>
        <w:t xml:space="preserve">1. soweit das Versicherungsunternehmen ausdrücklich auf sie verzichtet,</w:t>
      </w:r>
    </w:p>
    <w:p>
      <w:pPr>
        <w:ind w:left="420"/>
      </w:pPr>
      <w:r>
        <w:t xml:space="preserve">2. wenn das Versicherungsunternehmen die Mindestkapitalanforderung nicht erfüllt und die Aufsichtsbehörde der Auffassung ist, dass der vorgelegte Finanzierungsplan offensichtlich unzureichend ist oder es dem Unternehmen nicht gelingt, innerhalb von drei Monaten nach Feststellung der Nichtbedeckung der Mindestkapitalanforderung den genehmigten Finanzierungsplan zu erfüllen,</w:t>
      </w:r>
    </w:p>
    <w:p>
      <w:pPr>
        <w:ind w:left="420"/>
      </w:pPr>
      <w:r>
        <w:t xml:space="preserve">3. wenn das Versicherungsunternehmen gemäß § 229 von dem Sicherungsfonds ausgeschlossen wurde oder</w:t>
      </w:r>
    </w:p>
    <w:p>
      <w:pPr>
        <w:ind w:left="420"/>
      </w:pPr>
      <w:r>
        <w:t xml:space="preserve">4. wenn das Insolvenzverfahren eröffnet ist.</w:t>
      </w:r>
    </w:p>
    <w:p>
      <w:r>
        <w:t xml:space="preserve">Der Widerruf der Erlaubnis steht den im Rahmen des Insolvenzverfahrens erforderlichen Rechtshandlungen des Versicherungsunternehmens nicht entgegen.</w:t>
      </w:r>
    </w:p>
    <w:p>
      <w:r>
        <w:t xml:space="preserve">(2) Die Erlaubnis soll widerrufen werden, wenn das Versicherungsunternehmen seit der Erteilung innerhalb von zwölf Monaten von ihr keinen Gebrauch gemacht hat oder seit mehr als sechs Monaten den Geschäftsbetrieb eingestellt hat.</w:t>
      </w:r>
    </w:p>
    <w:p>
      <w:r>
        <w:t xml:space="preserve">(3) Die Aufsichtsbehörde kann die Erlaubnis ganz oder teilweise widerrufen, wenn</w:t>
      </w:r>
    </w:p>
    <w:p>
      <w:pPr>
        <w:ind w:left="420"/>
      </w:pPr>
      <w:r>
        <w:t xml:space="preserve">1. das Unternehmen die Voraussetzungen für die Erteilung der Erlaubnis nicht mehr erfüllt,</w:t>
      </w:r>
    </w:p>
    <w:p>
      <w:pPr>
        <w:ind w:left="420"/>
      </w:pPr>
      <w:r>
        <w:t xml:space="preserve">2. das Unternehmen in schwerwiegender Weise Verpflichtungen verletzt, die ihm nach dem Gesetz, mit Ausnahme der Vorschriften des Teils 2 Kapitel 1 Abschnitt 6, oder dem Geschäftsplan obliegen,</w:t>
      </w:r>
    </w:p>
    <w:p>
      <w:pPr>
        <w:ind w:left="420"/>
      </w:pPr>
      <w:r>
        <w:t xml:space="preserve">3. das Unternehmen nachhaltig gegen Artikel 4 oder Artikel 15 der Verordnung (EU) 2015/2365 oder sich auf diese Bestimmungen beziehende Anordnungen der Aufsichtsbehörde verstößt oder</w:t>
      </w:r>
    </w:p>
    <w:p>
      <w:pPr>
        <w:ind w:left="420"/>
      </w:pPr>
      <w:r>
        <w:t xml:space="preserve">4. das Unternehmen schwerwiegend, wiederholt oder systematisch gegen die Bestimmungen des Teils 2 Kapitel 1 Abschnitt 6 dieses Gesetzes oder gegen das Geldwäschegesetz oder gegen die zur Durchführung dieser Vorschriften erlassenen Verordnungen oder vollziehbaren Anordnungen der Aufsichtsbehörde verstößt.</w:t>
      </w:r>
    </w:p>
    <w:p>
      <w:r>
        <w:t xml:space="preserve">(4) Die Aufsichtsbehörde unterrichtet die Aufsichtsbehörden aller übrigen Mitglied- oder Vertragsstaaten, in denen das Unternehmen seine Geschäftstätigkeit ausübt, und die Europäische Aufsichtsbehörde für das Versicherungswesen und die betriebliche Altersversorgung über den Widerruf der Erlaubnis. Allein oder zusammen mit diesen Behörden trifft sie alle Maßnahmen, die geeignet sind, die Belange der Versicherten eines Erstversicherungsunternehmens oder die Interessen der Vorversicherer eines Rückversicherungsunternehmens zu wahren. Insbesondere kann sie die freie Verfügung über die Vermögensgegenstände des Unternehmens einschränken oder untersagen sowie die Vermögensverwaltung geeigneten Personen übertragen.</w:t>
      </w:r>
    </w:p>
    <w:p>
      <w:r>
        <w:t xml:space="preserve">(5) Nach dem Widerruf der Erlaubnis dürfen keine neuen Versicherungsverträge mehr abgeschlossen und früher abgeschlossene weder erhöht noch verlängert werden.</w:t>
      </w:r>
    </w:p>
    <w:p>
      <w:r>
        <w:t xml:space="preserve">(6) Bei Versicherungsvereinen auf Gegenseitigkeit wirkt der Widerruf der Erlaubnis für den gesamten Geschäftsbetrieb wie ein Auflösungsbeschluss. § 199 Absatz 3 findet keine Anwendung. Auf Anzeige der Aufsichtsbehörde wird der Widerruf in das Handelsregister eingetragen.</w:t>
      </w:r>
    </w:p>
    <w:p>
      <w:r>
        <w:t xml:space="preserve">(7) § 48 Absatz 4 Satz 1 und § 49 Absatz 2 Satz 2 des Verwaltungsverfahrensgesetzes über die Jahresfrist sind nicht anzuwenden.</w:t>
      </w:r>
    </w:p>
    <w:p>
      <w:r>
        <w:rPr>
          <w:color w:val="555555"/>
          <w:sz w:val="17"/>
        </w:rPr>
        <w:t xml:space="preserve">Zitiervorschlag: § 304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