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303a VAG 2016 — Tätigkeitsverbot für natürliche Personen</w:t>
      </w:r>
    </w:p>
    <w:p>
      <w:r>
        <w:rPr>
          <w:color w:val="555555"/>
          <w:sz w:val="18"/>
        </w:rPr>
        <w:t xml:space="preserve">Versicherungsaufsichtsgesetz</w:t>
      </w:r>
    </w:p>
    <w:p>
      <w:r>
        <w:rPr>
          <w:color w:val="555555"/>
          <w:sz w:val="18"/>
        </w:rPr>
        <w:t xml:space="preserve">Stand: 01.01.2022 (konsolidierte Textfassung, kein amtliches Inkrafttretensdatum)</w:t>
      </w:r>
    </w:p>
    <w:p>
      <w:r>
        <w:t xml:space="preserve">In den Fällen des § 304 Absatz 3 Nummer 3 oder des § 308 c Absatz 1 kann die Aufsichtsbehörde auch einer für den Verstoß verantwortlichen natürlichen Person, die zum Zeitpunkt des Verstoßes nicht Geschäftsleiter ist, vorübergehend für einen Zeitraum von bis zu zwei Jahren eine künftige Tätigkeit als Geschäftsleiter bei Versicherungsunternehmen und Pensionsfonds untersagen. Satz 1 ist entsprechend anzuwenden, wenn die dort genannten Personen gegen die in § 120a Absatz 1 und 2 des Wertpapierhandelsgesetzes in Bezug genommenen Vorschriften verstoßen haben.</w:t>
      </w:r>
    </w:p>
    <w:p>
      <w:r>
        <w:rPr>
          <w:color w:val="555555"/>
          <w:sz w:val="17"/>
        </w:rPr>
        <w:t xml:space="preserve">Zitiervorschlag: § 303a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https://recht.nulegal.eu/gesetze/VAG%202016/303a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