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301 VAG 2016 — Kapitalaufschlag</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Die Aufsichtsbehörde kann einen Kapitalaufschlag auf die Solvabilitätskapitalanforderung für ein Versicherungsunternehmen nur festsetzen, wenn</w:t>
      </w:r>
    </w:p>
    <w:p>
      <w:pPr>
        <w:ind w:left="420"/>
      </w:pPr>
      <w:r>
        <w:t xml:space="preserve">1. das Risikoprofil des Versicherungsunternehmens erheblich von den Annahmen abweicht, die der Solvabilitätskapitalanforderung zugrunde liegen, die unter Verwendung der Standardformel berechnet wurde, und wenn die Forderung gemäß § 96 Absatz 2, ein internes Modell zu verwenden, unangemessen ist oder erfolglos war oder ein gemäß § 96 Absatz 2 gefordertes internes Voll- oder Partialmodell noch entwickelt wird,</w:t>
      </w:r>
    </w:p>
    <w:p>
      <w:pPr>
        <w:ind w:left="420"/>
      </w:pPr>
      <w:r>
        <w:t xml:space="preserve">2. das Risikoprofil des Versicherungsunternehmens erheblich von den Annahmen abweicht, die der Solvabilitätskapitalanforderung zugrunde liegen, die gemäß einem als Voll- oder Partialmodell verwendeten internen Modell berechnet wurde, weil bestimmte quantifizierbare Risiken nur unzureichend erfasst wurden und die Anpassung des Modells zwecks einer besseren Abbildung des tatsächlichen Risikoprofils innerhalb eines angemessenen Zeitrahmens fehlgeschlagen ist,</w:t>
      </w:r>
    </w:p>
    <w:p>
      <w:pPr>
        <w:ind w:left="420"/>
      </w:pPr>
      <w:r>
        <w:t xml:space="preserve">3. die Geschäftsorganisation eines Versicherungsunternehmens erheblich von den in Teil 2 Kapitel 1 Abschnitt 3 festgelegten Standards abweicht und wenn</w:t>
      </w:r>
    </w:p>
    <w:p>
      <w:pPr>
        <w:ind w:left="780"/>
      </w:pPr>
      <w:r>
        <w:t xml:space="preserve">a) diese Abweichungen das Unternehmen daran hindern, die Risiken, denen es ausgesetzt ist oder ausgesetzt sein könnte, angemessen zu erkennen, zu messen, zu überwachen, zu steuern und über sie Bericht zu erstatten, und</w:t>
      </w:r>
    </w:p>
    <w:p>
      <w:pPr>
        <w:ind w:left="780"/>
      </w:pPr>
      <w:r>
        <w:t xml:space="preserve">b) die Anwendung anderer Maßnahmen die Mängel wahrscheinlich nicht innerhalb eines angemessenen Zeitrahmens ausreichend beheben wird</w:t>
      </w:r>
    </w:p>
    <w:p>
      <w:pPr>
        <w:ind w:left="420"/>
      </w:pPr>
      <w:r>
        <w:t xml:space="preserve">oder</w:t>
      </w:r>
    </w:p>
    <w:p>
      <w:pPr>
        <w:ind w:left="420"/>
      </w:pPr>
      <w:r>
        <w:t xml:space="preserve">4. das Versicherungsunternehmen die Matching-Anpassung gemäß § 80, die Volatilitätsanpassung gemäß § 82 oder die Übergangsmaßnahmen gemäß § 351 oder § 352 anwendet und die Aufsichtsbehörde zu dem Schluss gelangt, dass das Risikoprofil dieses Unternehmens erheblich von den Annahmen abweicht, die dieser Anpassung oder Übergangsmaßnahme zugrunde liegen.</w:t>
      </w:r>
    </w:p>
    <w:p>
      <w:r>
        <w:t xml:space="preserve">(2) In den in Absatz 1 Nummer 1 und 2 genannten Fällen wird der Kapitalaufschlag so berechnet, dass die Erfüllung der Anforderungen des § 97 Absatz 2 durch das Unternehmen sichergestellt ist. In den in Absatz 1 Nummer 3 genannten Fällen muss der Kapitalaufschlag proportional zu den wesentlichen Risiken sein, die mit den Mängeln einhergehen und die zu der Entscheidung der Aufsichtsbehörde geführt haben, den Kapitalaufschlag festzusetzen. In den in Absatz 1 Nummer 4 genannten Fällen muss der Kapitalaufschlag proportional zu den wesentlichen Risiken sein, die sich aus den dort bezeichneten Abweichungen ergeben.</w:t>
      </w:r>
    </w:p>
    <w:p>
      <w:r>
        <w:t xml:space="preserve">(3) Die Festsetzung eines Kapitalaufschlags entbindet in den in Absatz 1 Nummer 2 und 3 genannten Fällen das Versicherungsunternehmen nicht davon, die festgestellten Mängel zu beheben; die Aufsichtsbehörde ergreift, soweit erforderlich, weitere Maßnahmen zur Beseitigung des Missstands.</w:t>
      </w:r>
    </w:p>
    <w:p>
      <w:r>
        <w:t xml:space="preserve">(4) Der Kapitalaufschlag wird von der Aufsichtsbehörde mindestens einmal jährlich überprüft; er wird aufgehoben, sobald das Unternehmen die ihm zugrunde liegenden Mängel beseitigt hat.</w:t>
      </w:r>
    </w:p>
    <w:p>
      <w:r>
        <w:t xml:space="preserve">(5) Die Solvabilitätskapitalanforderung einschließlich des vorgeschriebenen Kapitalaufschlags ersetzt die unzureichende Solvabilitätskapitalanforderung. Bei der Berechnung der Risikomarge nach § 78 bleibt ein gemäß Absatz 1 Nummer 3 festgesetzter Kapitalaufschlag außer Betracht.</w:t>
      </w:r>
    </w:p>
    <w:p>
      <w:r>
        <w:rPr>
          <w:color w:val="555555"/>
          <w:sz w:val="17"/>
        </w:rPr>
        <w:t xml:space="preserve">Zitiervorschlag: § 301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https://recht.nulegal.eu/gesetze/VAG%202016/301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301 VAG 2016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