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VAG 2016 — Interne Revision</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Versicherungsunternehmen müssen über eine wirksame interne Revision verfügen, welche die gesamte Geschäftsorganisation und insbesondere das interne Kontrollsystem auf deren Angemessenheit und Wirksamkeit überprüft.</w:t>
      </w:r>
    </w:p>
    <w:p>
      <w:r>
        <w:t xml:space="preserve">(2) Die interne Revision muss objektiv und unabhängig von anderen operativen Tätigkeiten sein. Sie berichtet ihre Prüfungsergebnisse und Empfehlungen direkt an den Vorstand. Der Vorstand beschließt, welche Maßnahmen auf Grund der Feststellungen der Revisionsberichte zu ergreifen sind und stellt die Umsetzung dieser Maßnahmen sicher.</w:t>
      </w:r>
    </w:p>
    <w:p>
      <w:r>
        <w:rPr>
          <w:color w:val="555555"/>
          <w:sz w:val="17"/>
        </w:rPr>
        <w:t xml:space="preserve">Zitiervorschlag: § 30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