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299 VAG 2016 — Erweiterung der Aufsichtsbefugnisse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Aufsichtsbehörde kann Maßnahmen nach § 298 Absatz 1 oder 2 auch unmittelbar ergreifen gegenüber</w:t>
      </w:r>
    </w:p>
    <w:p>
      <w:pPr>
        <w:ind w:left="420"/>
      </w:pPr>
      <w:r>
        <w:t xml:space="preserve">1. anderen Unternehmen, auf die ein Versicherungsunternehmen Tätigkeiten ausgegliedert hat, und</w:t>
      </w:r>
    </w:p>
    <w:p>
      <w:pPr>
        <w:ind w:left="420"/>
      </w:pPr>
      <w:r>
        <w:t xml:space="preserve">2. Versicherungs-Holdinggesellschaften im Sinne des § 7 Nummer 31, gemischten Versicherungs-Holdinggesellschaften im Sinne des § 7 Nummer 11 und gemischten Finanzholding-Gesellschaften im Sinne des § 7 Nummer 10 sowie gegenüber den Personen, die die Geschäfte dieser Holdinggesellschaften tatsächlich führen.</w:t>
      </w:r>
    </w:p>
    <w:p>
      <w:r>
        <w:rPr>
          <w:color w:val="555555"/>
          <w:sz w:val="17"/>
        </w:rPr>
        <w:t xml:space="preserve">Zitiervorschlag: § 299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https://recht.nulegal.eu/gesetze/VAG%202016/299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299 VAG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