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296 VAG 2016 — Grundsatz der Verhältnismäßigkeit</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Auf Versicherungsunternehmen, die keine Pensionskassen sind, wendet die Aufsichtsbehörde die Vorschriften dieses Gesetzes in einer Art und Weise an, die der Art, dem Umfang und der Komplexität der Risiken angemessen ist, die mit der Tätigkeit des jeweiligen Versicherungsunternehmens einhergehen. Auf Pensionskassen wendet die Aufsichtsbehörde die Vorschriften dieses Gesetzes in einer Art und Weise an, die der Größenordnung, der Art, dem Umfang und der Komplexität der Tätigkeiten der jeweiligen Pensionskasse angemessen ist.</w:t>
      </w:r>
    </w:p>
    <w:p>
      <w:r>
        <w:t xml:space="preserve">(2) Absatz 1 gilt für den Verordnungsgeber entsprechend, soweit dieses Gesetz zum Erlass von Rechtsverordnungen ermächtigt.</w:t>
      </w:r>
    </w:p>
    <w:p>
      <w:r>
        <w:rPr>
          <w:color w:val="555555"/>
          <w:sz w:val="17"/>
        </w:rPr>
        <w:t xml:space="preserve">Zitiervorschlag: § 296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https://recht.nulegal.eu/gesetze/VAG%202016/296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296 VAG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