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293 VAG 2016 — Aufsicht</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Für Versicherungs-Holdinggesellschaften und gemischte Finanzholding-Gesellschaften gelten neben dem Absatz 3 die §§ 4, 16 bis 26, 29, 30, 32, 47 Nummer 1, 2 und 5 bis 7, die §§ 303, 305, 306 bis 306b, 310 und 333 sowie die Vorschriften einer Rechtsverordnung nach § 310a entsprechend; § 299 bleibt unberührt. Die §§ 17 und 18 sind nicht anzuwenden, sofern zugleich die Absicht des Erwerbs, der Erhöhung, der Aufgabe oder der Verringerung einer bedeutenden Beteiligung an einem Versicherungsunternehmen besteht oder unabsichtlich eine bedeutende Beteiligung an einem Versicherungsunternehmen erworben, erhöht, aufgegeben oder verringert wurde. Für Unternehmen, die auch das Erst- oder Rückversicherungsgeschäft betreiben, gelten neben Absatz 2 nur die Vorschriften über die Beaufsichtigung von Erst- oder Rückversicherungsunternehmen.</w:t>
      </w:r>
    </w:p>
    <w:p>
      <w:r>
        <w:t xml:space="preserve">(2) In den Fällen des § 287 kann die Aufsichtsbehörde die erforderlichen Maßnahmen auch gegenüber der jeweiligen Versicherungs-Holdinggesellschaft oder gemischten Finanzholding-Gesellschaft anordnen.</w:t>
      </w:r>
    </w:p>
    <w:p>
      <w:r>
        <w:t xml:space="preserve">(3) Die Aufsichtsbehörde kann bei Versicherungs-Holdinggesellschaften und gemischten Finanzholding-Gesellschaften einen Sonderbeauftragten nach Maßgabe des § 307 einsetzen.</w:t>
      </w:r>
    </w:p>
    <w:p>
      <w:r>
        <w:t xml:space="preserve">(4) Für Unternehmen mit Sitz im Inland, deren Haupttätigkeit der Erwerb und das Halten unmittelbarer oder mittelbarer Beteiligungen an Erst- oder Rückversicherungsunternehmen oder Pensionsfonds ist und die nicht bereits der Aufsicht nach diesem Gesetz unterliegen, gelten die Absätze 1 bis 3 entsprechend.</w:t>
      </w:r>
    </w:p>
    <w:p>
      <w:r>
        <w:t xml:space="preserve">(5) Für Versicherungs-Holdinggesellschaften nach § 7 Nummer 31 und für Unternehmen nach Absatz 4 gelten die Vorgaben der Verordnung (EU) 2022/2554, die Vorgaben der auf Grundlage der Verordnung (EU) 2022/2554 erlassenen Rechtsakte sowie die Bestimmungen dieses Gesetzes, die auf Vorgaben der Verordnung (EU) 2022/2554 verweisen. Anstelle der Artikel 5 bis 15 der Verordnung (EU) 2022/2554 gilt der vereinfachte Informations- und Kommunikationstechnologien-Risikomanagementrahmen (IKT-Risikomanagementrahmen) nach Artikel 16 der Verordnung (EU) 2022/2554.</w:t>
      </w:r>
    </w:p>
    <w:p>
      <w:r>
        <w:rPr>
          <w:color w:val="555555"/>
          <w:sz w:val="17"/>
        </w:rPr>
        <w:t xml:space="preserve">Zitiervorschlag: § 293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