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292 VAG 2016 — Gruppeninterne Transaktionen</w:t>
      </w:r>
    </w:p>
    <w:p>
      <w:r>
        <w:rPr>
          <w:color w:val="555555"/>
          <w:sz w:val="18"/>
        </w:rPr>
        <w:t xml:space="preserve">Versicherungsaufsichtsgesetz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Haben ein oder mehrere Versicherungsunternehmen eine gemischte Versicherungs-Holdinggesellschaft als Mutterunternehmen, unterliegen die gruppeninternen Transaktionen zwischen diesen Versicherungsunternehmen und der gemischten Versicherungs-Holdinggesellschaft der allgemeinen Aufsicht. Die §§ 274, 284 bis 287, § 298 Absatz 1, § 305 Absatz 1 Nummer 1 und § 328 sind entsprechend anzuwenden.</w:t>
      </w:r>
    </w:p>
    <w:p>
      <w:r>
        <w:rPr>
          <w:color w:val="555555"/>
          <w:sz w:val="17"/>
        </w:rPr>
        <w:t xml:space="preserve">Zitiervorschlag: § 292 VAG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https://recht.nulegal.eu/gesetze/VAG%202016/292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