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291 VAG 2016 — Ebene der Beaufsichtigung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Mutterunternehmen mit Sitz in einem Drittstaat selbst Tochterunternehmen einer Versicherungs-Holdinggesellschaft oder gemischten Finanzholding-Gesellschaft mit Sitz außerhalb des Europäischen Wirtschaftsraums oder eines Drittstaats-Versicherungsunternehmens, wird die in § 288 genannte Überprüfung nur auf der Ebene des obersten Mutterunternehmens, das eine Drittstaats-Versicherungs-Holdinggesellschaft, eine gemischte Drittstaats-Finanzholding-Gesellschaft oder ein Drittstaats-Versicherungsunternehmen ist, vorgenommen.</w:t>
      </w:r>
    </w:p>
    <w:p>
      <w:r>
        <w:t xml:space="preserve">(2) Die Aufsichtsbehörde kann bei fehlender gleichwertiger Beaufsichtigung auf einer niedrigeren Ebene bei einem Mutterunternehmen von Versicherungsunternehmen eine erneute Überprüfung vornehmen, unabhängig davon, ob es sich dabei um eine Drittstaats-Versicherungs-Holdinggesellschaft, eine gemischte Drittstaats-Finanzholding-Gesellschaft oder ein Drittstaats-Versicherungsunternehmen handelt. In diesem Fall erläutert die in § 288 Absatz 2 genannte Aufsichtsbehörde der Gruppe die Entscheidung. § 290 ist entsprechend anzuwenden.</w:t>
      </w:r>
    </w:p>
    <w:p>
      <w:r>
        <w:rPr>
          <w:color w:val="555555"/>
          <w:sz w:val="17"/>
        </w:rPr>
        <w:t xml:space="preserve">Zitiervorschlag: § 291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