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289 VAG 2016 — Gleichwertigkeit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22.01.2026 (konsolidierte Textfassung, kein amtliches Inkrafttretensdatum)</w:t>
      </w:r>
    </w:p>
    <w:p>
      <w:r>
        <w:t xml:space="preserve">(1) Ist im Überprüfungsverfahren nach § 288 die gleichwertige Beaufsichtigung festgestellt worden, erkennt die Aufsichtsbehörde die im Drittstaat durchgeführte Gruppenaufsicht als verbindlich an.</w:t>
      </w:r>
    </w:p>
    <w:p>
      <w:r>
        <w:t xml:space="preserve">(2) Die §§ 279 bis 287, 293 Absatz 1, § 298 Absatz 1, § 305 Absatz 1 Nummer 1, § 306 Absatz 1 Satz 1 Nummer 1 und § 309 gelten bei der Zusammenarbeit mit den Aufsichtsbehörden des Drittstaats entsprechend.</w:t>
      </w:r>
    </w:p>
    <w:p>
      <w:r>
        <w:rPr>
          <w:color w:val="555555"/>
          <w:sz w:val="17"/>
        </w:rPr>
        <w:t xml:space="preserve">Zitiervorschlag: § 289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https://recht.nulegal.eu/gesetze/VAG%202016/289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