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287 VAG 2016 — Zwangsmaßnahmen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Erfüllt ein Versicherungsunternehmen einer Gruppe die Anforderungen der §§ 250 bis 272 an die Solvabilität der Gruppe nicht oder ist die Solvabilität der Gruppe gefährdet, obwohl es die Anforderungen einhält, oder gefährden gruppeninterne Transaktionen oder Risikokonzentrationen die Finanzlage des Versicherungsunternehmens, fordert die Aufsichtsbehörde das Versicherungsunternehmen auf, Maßnahmen zur unverzüglichen Bereinigung der Situation zu ergreifen. Gleichzeitig verlangt die Gruppenaufsichtsbehörde entsprechende Maßnahmen von der Versicherungs-Holdinggesellschaft oder der gemischten Finanzholding-Gesellschaft.</w:t>
      </w:r>
    </w:p>
    <w:p>
      <w:r>
        <w:t xml:space="preserve">(2) Ist die Aufsichtsbehörde Gruppenaufsichtsbehörde und befindet sich der Sitz der Versicherungs-Holdinggesellschaft, der gemischten Finanzholding-Gesellschaft oder des Versicherungsunternehmens in einem anderen Mitglied- oder Vertragsstaat, teilt sie der Aufsichtsbehörde des anderen Staats ihre Erkenntnisse mit, damit diese die notwendigen Maßnahmen einleiten kann.</w:t>
      </w:r>
    </w:p>
    <w:p>
      <w:r>
        <w:t xml:space="preserve">(3) Die Aufsichtsbehörde koordiniert ihre Zwangsmaßnahmen mit den anderen betroffenen Aufsichtsbehörden und der Gruppenaufsichtsbehörde, insbesondere in Fällen, in denen sich die Hauptverwaltung oder Hauptniederlassung einer Versicherungs-Holdinggesellschaft oder einer gemischten Finanzholding-Gesellschaft nicht am Ort ihres Sitzes befindet. Dies gilt auch, wenn die Aufsichtsbehörde Gruppenaufsichtsbehörde ist.</w:t>
      </w:r>
    </w:p>
    <w:p>
      <w:r>
        <w:rPr>
          <w:color w:val="555555"/>
          <w:sz w:val="17"/>
        </w:rPr>
        <w:t xml:space="preserve">Zitiervorschlag: § 287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