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285 VAG 2016 — Gegenseitige Konsultation der Aufsichtsbehörden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Vor jeder Entscheidung, die für die Aufsichtstätigkeit anderer Aufsichtsbehörden von Bedeutung ist, hört die Aufsichtsbehörde im Rahmen des Aufsichtskollegiums die anderen betroffenen Aufsichtsbehörden an über</w:t>
      </w:r>
    </w:p>
    <w:p>
      <w:pPr>
        <w:ind w:left="420"/>
      </w:pPr>
      <w:r>
        <w:t xml:space="preserve">1. die Genehmigung von Veränderungen in der Aktionärs-, Organisations- oder Leitungsstruktur eines Versicherungsunternehmens der Gruppe;</w:t>
      </w:r>
    </w:p>
    <w:p>
      <w:pPr>
        <w:ind w:left="420"/>
      </w:pPr>
      <w:r>
        <w:t xml:space="preserve">2. die Entscheidung über die Verlängerung der Frist für die Sanierung nach § 134 Absatz 3 bis 6;</w:t>
      </w:r>
    </w:p>
    <w:p>
      <w:pPr>
        <w:ind w:left="420"/>
      </w:pPr>
      <w:r>
        <w:t xml:space="preserve">3. bedeutende Sanktionen oder außergewöhnliche aufsichtsbehördliche Maßnahmen hinsichtlich eines Versicherungsunternehmens der Gruppe.</w:t>
      </w:r>
    </w:p>
    <w:p>
      <w:r>
        <w:t xml:space="preserve">Als außergewöhnliche Maßnahmen im Sinne des Satzes 1 Nummer 3 sind insbesondere die Festsetzung eines Kapitalaufschlags auf die Solvabilitätskapitalanforderung und eine Beschränkung der Verwendung des internen Modells anzusehen.</w:t>
      </w:r>
    </w:p>
    <w:p>
      <w:r>
        <w:t xml:space="preserve">(2) Für die Zwecke des Absatzes 1 Satz 1 Nummer 2 und 3 wird stets die Gruppenaufsichtsbehörde angehört. Beruht eine Entscheidung auf Informationen, die von anderen Aufsichtsbehörden übermittelt wurden, so hören die betroffenen Aufsichtsbehörden einander ebenfalls vor dieser Entscheidung an.</w:t>
      </w:r>
    </w:p>
    <w:p>
      <w:r>
        <w:t xml:space="preserve">(3) Die Aufsichtsbehörde kann von der Anhörung anderer Aufsichtsbehörden absehen, wenn Eile geboten ist oder eine solche Anhörung die Wirksamkeit der Entscheidung beeinträchtigen könnte. In diesem Fall setzt die Aufsichtsbehörde die anderen betroffenen Aufsichtsbehörden unverzüglich von ihrer Entscheidung in Kenntnis.</w:t>
      </w:r>
    </w:p>
    <w:p>
      <w:r>
        <w:rPr>
          <w:color w:val="555555"/>
          <w:sz w:val="17"/>
        </w:rPr>
        <w:t xml:space="preserve">Zitiervorschlag: § 285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