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282 VAG 2016 — Befreiung von der Berichterstattung auf Gruppenebene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Sind die Intervalle für die regelmäßige aufsichtliche Berichterstattung kürzer als ein Jahr, kann die Gruppenaufsichtsbehörde die Häufigkeit der Berichterstattung auf Gruppenebene begrenzen, sofern alle Versicherungsunternehmen der Gruppe von dieser Begrenzung gemäß § 45 Absatz 1 profitieren, wobei der Wesensart, dem Umfang und der Komplexität der mit der Geschäftstätigkeit der Gruppe verbundenen Risiken Rechnung zu tragen ist.</w:t>
      </w:r>
    </w:p>
    <w:p>
      <w:r>
        <w:t xml:space="preserve">(2) Die Gruppenaufsichtsbehörde kann auf Gruppenebene von der Einzelpostenberichterstattung befreien, sofern alle Versicherungsunternehmen der Gruppe von der Freistellung gemäß § 45 Absatz 2 profitieren, wobei der Wesensart, dem Umfang und der Komplexität der mit der Geschäftstätigkeit der Gruppe verbundenen Risiken und dem Ziel der finanziellen Stabilität Rechnung zu tragen ist.</w:t>
      </w:r>
    </w:p>
    <w:p>
      <w:r>
        <w:rPr>
          <w:color w:val="555555"/>
          <w:sz w:val="17"/>
        </w:rPr>
        <w:t xml:space="preserve">Zitiervorschlag: § 282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