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VAG 2016 — Externe Ratings</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Damit ein übermäßiges Vertrauen auf externe Ratingagenturen vermieden wird, überprüfen die Versicherungsunternehmen bei der Nutzung externer Ratings für die Berechnung der versicherungstechnischen Rückstellungen und der Solvabilitätskapitalanforderung im Rahmen ihres Risikomanagements die Angemessenheit dieser externen Ratings, indem sie soweit praktisch möglich zusätzliche Bewertungen vornehmen, um eine automatische Abhängigkeit von externen Ratings zu verhindern.</w:t>
      </w:r>
    </w:p>
    <w:p>
      <w:r>
        <w:t xml:space="preserve">(2) Die in den Geltungsbereich der Verordnung (EG) Nr. 1060/2009 einbezogenen Unternehmen, die der Aufsicht nach diesem Gesetz unterliegen, haben die sich aus dieser Verordnung in der jeweils geltenden Fassung ergebenden Pflichten einzuhalten.</w:t>
      </w:r>
    </w:p>
    <w:p>
      <w:r>
        <w:rPr>
          <w:color w:val="555555"/>
          <w:sz w:val="17"/>
        </w:rPr>
        <w:t xml:space="preserve">Zitiervorschlag: § 28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