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277 VAG 2016 — Bericht über Solvabilität und Finanzlage der Gruppe</w:t>
      </w:r>
    </w:p>
    <w:p>
      <w:r>
        <w:rPr>
          <w:color w:val="555555"/>
          <w:sz w:val="18"/>
        </w:rPr>
        <w:t xml:space="preserve">Versicherungsaufsichtsgesetz</w:t>
      </w:r>
    </w:p>
    <w:p>
      <w:r>
        <w:rPr>
          <w:color w:val="555555"/>
          <w:sz w:val="18"/>
        </w:rPr>
        <w:t xml:space="preserve">Stand: 10.06.2019 (konsolidierte Textfassung, kein amtliches Inkrafttretensdatum)</w:t>
      </w:r>
    </w:p>
    <w:p>
      <w:r>
        <w:t xml:space="preserve">(1) Das oberste Mutterunternehmen auf Ebene der Mitglied- oder Vertragsstaaten im Sinne des § 247 hat jährlich einen Solvabilitäts- und Finanzbericht auf Gruppenebene zu veröffentlichen. § 29 Absatz 3 und die §§ 40 bis 42 sind entsprechend anzuwenden.</w:t>
      </w:r>
    </w:p>
    <w:p>
      <w:r>
        <w:t xml:space="preserve">(2) Mit Genehmigung der Gruppenaufsichtsbehörde ist dieses Unternehmen berechtigt, für die gesamte Gruppe nur einen einzigen Solvabilitäts- und Finanzbericht zu veröffentlichen, der neben den nach Absatz 1 zu veröffentlichenden Informationen auf Gruppenebene auch die nach den §§ 40 bis 42 für jedes Tochterunternehmen der Gruppe zu veröffentlichenden Informationen, die einzeln identifizierbar sein müssen, enthält. In diesem Fall entfallen die Verpflichtungen aus den vorgenannten Vorschriften für die einzelnen Tochterunternehmen.</w:t>
      </w:r>
    </w:p>
    <w:p>
      <w:r>
        <w:t xml:space="preserve">(3) Vor Erteilung der Genehmigung nach Absatz 2 hört die Gruppenaufsichtsbehörde die Aufsichtsbehörden des Aufsichtskollegiums an und trägt deren Auffassungen angemessen Rechnung.</w:t>
      </w:r>
    </w:p>
    <w:p>
      <w:r>
        <w:t xml:space="preserve">(4) Ist die Aufsichtsbehörde für ein Tochterunternehmen der Gruppe zuständig und fehlen in dem nach Maßgabe des Absatzes 2 erstellten Solvabilitäts- und Finanzbericht wesentliche Informationen hinsichtlich dieses Tochterunternehmens, kann sie das Tochterunternehmen zur Offenlegung der erforderlichen Zusatzinformationen verpflichten.</w:t>
      </w:r>
    </w:p>
    <w:p>
      <w:r>
        <w:rPr>
          <w:color w:val="555555"/>
          <w:sz w:val="17"/>
        </w:rPr>
        <w:t xml:space="preserve">Zitiervorschlag: § 277 VAG 2016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https://recht.nulegal.eu/gesetze/VAG%202016/277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