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276 VAG 2016 — Gegenseitiger Informationsaustausch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(1) Die in die Gruppenaufsicht einbezogenen natürlichen und juristischen Personen einschließlich ihrer verbundenen und beteiligten Unternehmen sind befugt, alle Informationen auszutauschen, die für die Anwendung der Vorschriften dieses Teils notwendig sind.</w:t>
      </w:r>
    </w:p>
    <w:p>
      <w:r>
        <w:t xml:space="preserve">(2) Das oberste beteiligte Unternehmen kann von jedem anderen Unternehmen der Gruppe alle Aufklärungen und Nachweise verlangen, welche es zur Erfüllung seiner Pflichten nach diesem Kapitel benötigt.</w:t>
      </w:r>
    </w:p>
    <w:p>
      <w:r>
        <w:t xml:space="preserve">(3) Die allgemeinen datenschutzrechtlichen Vorschriften bleiben unberührt.</w:t>
      </w:r>
    </w:p>
    <w:p>
      <w:r>
        <w:rPr>
          <w:color w:val="555555"/>
          <w:sz w:val="17"/>
        </w:rPr>
        <w:t xml:space="preserve">Zitiervorschlag: § 276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