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274 VAG 2016 — Überwachung gruppeninterner Transaktionen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Der Gruppenaufsichtsbehörde ist mindestens einmal jährlich über alle wesentlichen gruppeninternen Transaktionen der Versicherungsunternehmen der Gruppe zu berichten, einschließlich der Transaktionen mit natürlichen Personen, die zu einem Unternehmen der Gruppe enge Verbindungen unterhalten. Die Gruppenaufsichtsbehörde kann einen unterjährigen Berichtsturnus festlegen, um die Überwachung der gruppeninternen Transaktionen zu erleichtern.</w:t>
      </w:r>
    </w:p>
    <w:p>
      <w:r>
        <w:t xml:space="preserve">(2) Sofern das oberste beteiligte Unternehmen ein Versicherungsunternehmen ist, meldet dieses die wesentlichen gruppeninternen Transaktionen der Gruppenaufsichtsbehörde. Sofern das oberste beteiligte Unternehmen eine Versicherungs-Holdinggesellschaft oder eine gemischte Finanzholding-Gesellschaft ist, meldet diese die Informationen, sofern nicht die Gruppenaufsichtsbehörde nach Anhörung der anderen betroffenen Aufsichtsbehörden und der Gruppe ein Versicherungsunternehmen als zur Meldung verpflichtetes Unternehmen bestimmt hat.</w:t>
      </w:r>
    </w:p>
    <w:p>
      <w:r>
        <w:t xml:space="preserve">(3) Über besonders wesentliche Transaktionen nach Absatz 1 hat das zur Meldung verpflichtete Unternehmen der Gruppenaufsichtsbehörde unverzüglich Bericht zu erstatten.</w:t>
      </w:r>
    </w:p>
    <w:p>
      <w:r>
        <w:t xml:space="preserve">(4) Die Gruppenaufsichtsbehörde bestimmt nach Anhörung der Gruppe und der anderen betroffenen Aufsichtsbehörden, über welche Arten von gruppeninternen Transaktionen die Versicherungsunternehmen der Gruppe auf jeden Fall berichten müssen. Bei grenzüberschreitend tätigen Gruppen erfolgt diese Festlegung nach Konsultation der anderen betroffenen Aufsichtsbehörden. § 273 Absatz 3 Satz 2 und 3, Absatz 4 ist entsprechend anzuwenden.</w:t>
      </w:r>
    </w:p>
    <w:p>
      <w:r>
        <w:rPr>
          <w:color w:val="555555"/>
          <w:sz w:val="17"/>
        </w:rPr>
        <w:t xml:space="preserve">Zitiervorschlag: § 274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