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271 VAG 2016 — Ende der Ausnahmeregelung für ein Tochterunternehmen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in den §§ 269 und 270 vorgesehenen Regelungen sind nicht anwendbar, wenn</w:t>
      </w:r>
    </w:p>
    <w:p>
      <w:pPr>
        <w:ind w:left="420"/>
      </w:pPr>
      <w:r>
        <w:t xml:space="preserve">1. die in § 267 Nummer 1 genannte Bedingung nicht mehr erfüllt ist,</w:t>
      </w:r>
    </w:p>
    <w:p>
      <w:pPr>
        <w:ind w:left="420"/>
      </w:pPr>
      <w:r>
        <w:t xml:space="preserve">2. die in § 267 Nummer 2 genannte Bedingung nicht mehr erfüllt ist und die Gruppe nicht innerhalb einer angemessenen Frist für erneute Einhaltung sorgt oder</w:t>
      </w:r>
    </w:p>
    <w:p>
      <w:pPr>
        <w:ind w:left="420"/>
      </w:pPr>
      <w:r>
        <w:t xml:space="preserve">3. die in § 267 Nummer 3 und 4 genannten Bedingungen nicht mehr erfüllt sind.</w:t>
      </w:r>
    </w:p>
    <w:p>
      <w:r>
        <w:t xml:space="preserve">Entscheidet die Gruppenaufsichtsbehörde in dem in Satz 1 Nummer 1 genannten Fall nach Anhörung des Aufsichtskollegiums, das Tochterunternehmen nicht mehr in die Gruppenaufsicht einzubeziehen, teilt sie dies der für das Tochterunternehmen zuständigen Aufsichtsbehörde und dem Mutterunternehmen unverzüglich mit.</w:t>
      </w:r>
    </w:p>
    <w:p>
      <w:r>
        <w:t xml:space="preserve">(2) Das Mutterunternehmen ist dafür verantwortlich, dass die in § 267 Nummer 2, 3 und 4 genannten Bedingungen jederzeit erfüllt werden. Ist eine Bedingung nicht erfüllt, teilt das Mutterunternehmen dies der Gruppenaufsichtsbehörde sowie der für die Beaufsichtigung des betreffenden Tochterunternehmens zuständigen Aufsichtsbehörde unverzüglich mit. Das Mutterunternehmen hat einen Plan vorzulegen, um innerhalb einer angemessenen Frist für die erneute Einhaltung der Bedingungen zu sorgen. Die Gruppenaufsichtsbehörde überprüft mindestens einmal jährlich, ob die Bedingungen nach wie vor erfüllt sind. Eine solche Überprüfung nimmt sie auch auf Antrag der betroffenen Aufsichtsbehörde vor, wenn diese erhebliche Zweifel an der kontinuierlichen Erfüllung dieser Bedingungen hat. Werden bei dieser Überprüfung Schwächen oder Mängel festgestellt, verlangt die Gruppenaufsichtsbehörde von dem Mutterunternehmen einen Plan, der die Beseitigung dieser Schwächen oder Mängel innerhalb einer angemessenen Frist vorsieht. Stellt die Gruppenaufsichtsbehörde nach Anhörung des Aufsichtskollegiums fest, dass der in den Sätzen 3 und 6 genannte Plan unzureichend ist oder nicht fristgerecht umgesetzt wird, gelten die in § 267 Nummer 2 bis 4 genannten Bedingungen als nicht mehr erfüllt. Die Gruppenaufsichtsbehörde teilt dies unverzüglich der betroffenen Aufsichtsbehörde mit.</w:t>
      </w:r>
    </w:p>
    <w:p>
      <w:r>
        <w:t xml:space="preserve">(3) Stellt das Mutterunternehmen einen neuen Antrag und wird dieser genehmigt, richtet sich das Verfahren erneut nach den §§ 269 und 270.</w:t>
      </w:r>
    </w:p>
    <w:p>
      <w:r>
        <w:rPr>
          <w:color w:val="555555"/>
          <w:sz w:val="17"/>
        </w:rPr>
        <w:t xml:space="preserve">Zitiervorschlag: § 271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