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267 VAG 2016 — Bedingungen für Tochterunternehmen eines Versicherungsunternehmens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Bestimmungen der §§ 269 und 270 gelten für jedes Versicherungsunternehmen, das Tochterunternehmen eines Versicherungsunternehmens ist, wenn</w:t>
      </w:r>
    </w:p>
    <w:p>
      <w:pPr>
        <w:ind w:left="420"/>
      </w:pPr>
      <w:r>
        <w:t xml:space="preserve">1. das Tochterunternehmen in die Gruppenaufsicht auf Ebene des Mutterunternehmens einbezogen ist,</w:t>
      </w:r>
    </w:p>
    <w:p>
      <w:pPr>
        <w:ind w:left="420"/>
      </w:pPr>
      <w:r>
        <w:t xml:space="preserve">2. das Risikomanagement und die internen Kontrollmechanismen des Mutterunternehmens das Tochterunternehmen einschließen und das Mutterunternehmen die betroffenen Aufsichtsbehörden von der umsichtigen Führung des Tochterunternehmens überzeugt hat,</w:t>
      </w:r>
    </w:p>
    <w:p>
      <w:pPr>
        <w:ind w:left="420"/>
      </w:pPr>
      <w:r>
        <w:t xml:space="preserve">3. das Mutterunternehmen die Zustimmung gemäß § 275 Absatz 4 erhalten hat,</w:t>
      </w:r>
    </w:p>
    <w:p>
      <w:pPr>
        <w:ind w:left="420"/>
      </w:pPr>
      <w:r>
        <w:t xml:space="preserve">4. das Mutterunternehmen die Zustimmung gemäß § 277 Absatz 2 erhalten hat und</w:t>
      </w:r>
    </w:p>
    <w:p>
      <w:pPr>
        <w:ind w:left="420"/>
      </w:pPr>
      <w:r>
        <w:t xml:space="preserve">5. das Mutterunternehmen die Inanspruchnahme der Bestimmungen der §§ 269 und 270 beantragt hat und dieser Antrag gemäß § 268 genehmigt worden ist.</w:t>
      </w:r>
    </w:p>
    <w:p>
      <w:r>
        <w:rPr>
          <w:color w:val="555555"/>
          <w:sz w:val="17"/>
        </w:rPr>
        <w:t xml:space="preserve">Zitiervorschlag: § 267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https://recht.nulegal.eu/gesetze/VAG%202016/267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