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265 VAG 2016 — Abzugs- und Aggregationsmethode</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Nach der Abzugs- und Aggregationsmethode ist die Gruppensolvabilität des beteiligten Versicherungsunternehmens die Differenz zwischen</w:t>
      </w:r>
    </w:p>
    <w:p>
      <w:pPr>
        <w:ind w:left="420"/>
      </w:pPr>
      <w:r>
        <w:t xml:space="preserve">1. den aggregierten anrechnungsfähigen Eigenmitteln der Gruppe gemäß Absatz 2 und</w:t>
      </w:r>
    </w:p>
    <w:p>
      <w:pPr>
        <w:ind w:left="420"/>
      </w:pPr>
      <w:r>
        <w:t xml:space="preserve">2. dem Wert des verbundenen Versicherungsunternehmens beim beteiligten Versicherungsunternehmen zuzüglich der aggregierten Solvabilitätskapitalanforderung der Gruppe gemäß Absatz 3.</w:t>
      </w:r>
    </w:p>
    <w:p>
      <w:r>
        <w:t xml:space="preserve">(2) Die aggregierten anrechnungsfähigen Eigenmittel der Gruppe setzen sich zusammen aus</w:t>
      </w:r>
    </w:p>
    <w:p>
      <w:pPr>
        <w:ind w:left="420"/>
      </w:pPr>
      <w:r>
        <w:t xml:space="preserve">1. den auf die Solvabilitätskapitalanforderung des beteiligten Versicherungsunternehmens anrechnungsfähigen Eigenmitteln und</w:t>
      </w:r>
    </w:p>
    <w:p>
      <w:pPr>
        <w:ind w:left="420"/>
      </w:pPr>
      <w:r>
        <w:t xml:space="preserve">2. den verhältnismäßigen Anteilen des beteiligten Versicherungsunternehmens an den auf die Solvabilitätskapitalanforderungen der verbundenen Versicherungsunternehmen anrechnungsfähigen Eigenmitteln.</w:t>
      </w:r>
    </w:p>
    <w:p>
      <w:r>
        <w:t xml:space="preserve">(3) Die aggregierte Solvabilitätskapitalanforderung der Gruppe setzt sich zusammen aus</w:t>
      </w:r>
    </w:p>
    <w:p>
      <w:pPr>
        <w:ind w:left="420"/>
      </w:pPr>
      <w:r>
        <w:t xml:space="preserve">1. der Solvabilitätskapitalanforderung des beteiligten Versicherungsunternehmens und</w:t>
      </w:r>
    </w:p>
    <w:p>
      <w:pPr>
        <w:ind w:left="420"/>
      </w:pPr>
      <w:r>
        <w:t xml:space="preserve">2. den verhältnismäßigen Anteilen an den Solvabilitätskapitalanforderungen der verbundenen Versicherungsunternehmen.</w:t>
      </w:r>
    </w:p>
    <w:p>
      <w:r>
        <w:t xml:space="preserve">(4) Im Fall einer teilweisen oder vollständigen indirekten Beteiligung wird der Wert der indirekten Beteiligung durch Ermittlung des durchgerechneten Anteils zugrunde gelegt. Die in Absatz 2 Nummer 2 und Absatz 3 Nummer 2 genannten Anteile werden entsprechend ermittelt.</w:t>
      </w:r>
    </w:p>
    <w:p>
      <w:r>
        <w:t xml:space="preserve">(5) Auf den Antrag, die Solvabilitätskapitalanforderung für die Versicherungsunternehmen der Gruppe anhand eines internen Modells zu berechnen, sind die §§ 262 und 263 entsprechend anzuwenden.</w:t>
      </w:r>
    </w:p>
    <w:p>
      <w:r>
        <w:t xml:space="preserve">(6) Die aggregierte Solvabilitätskapitalanforderung der Gruppe muss das Risikoprofil der Gruppe angemessen abbilden. Dabei müssen insbesondere auf Gruppenebene spezifische Risiken, die schwer quantifizierbar sind, angemessen berücksichtigt werden. Weicht das Risikoprofil der Gruppe erheblich von den Annahmen für die aggregierte Solvabilitätskapitalanforderung der Gruppe ab, kann die Gruppenaufsichtsbehörde einen Kapitalaufschlag auf die aggregierte Solvabilitätskapitalanforderung für die Gruppe vorschreiben. § 301 und die zu Artikel 37 der Richtlinie 2009/138/EG erlassenen delegierten Rechtsakte sind entsprechend anzuwenden.</w:t>
      </w:r>
    </w:p>
    <w:p>
      <w:r>
        <w:rPr>
          <w:color w:val="555555"/>
          <w:sz w:val="17"/>
        </w:rPr>
        <w:t xml:space="preserve">Zitiervorschlag: § 265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