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264 VAG 2016 — Kapitalaufschlag für die Gruppe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Gruppenaufsichtsbehörde kann einen Kapitalaufschlag auf die konsolidierte Solvabilitätskapitalanforderung für die Gruppe festsetzen, wenn die konsolidierte Solvabilitätskapitalanforderung das Risikoprofil der Gruppe nicht angemessen abbildet. Dies ist insbesondere der Fall, wenn</w:t>
      </w:r>
    </w:p>
    <w:p>
      <w:pPr>
        <w:ind w:left="420"/>
      </w:pPr>
      <w:r>
        <w:t xml:space="preserve">1. ein auf Gruppenebene spezifisches Risiko wegen seiner schweren Quantifizierbarkeit durch die Standardformel oder das verwendete interne Modell nicht hinreichend abgedeckt werden kann oder</w:t>
      </w:r>
    </w:p>
    <w:p>
      <w:pPr>
        <w:ind w:left="420"/>
      </w:pPr>
      <w:r>
        <w:t xml:space="preserve">2. Kapitalaufschläge für die verbundenen Versicherungsunternehmen nach den §§ 301 und 263 vorgeschrieben werden.</w:t>
      </w:r>
    </w:p>
    <w:p>
      <w:r>
        <w:t xml:space="preserve">(2) § 301 und die zu Artikel 37 der Richtlinie 2009/138/EG erlassenen delegierten Rechtsakte sind entsprechend anzuwenden.</w:t>
      </w:r>
    </w:p>
    <w:p>
      <w:r>
        <w:rPr>
          <w:color w:val="555555"/>
          <w:sz w:val="17"/>
        </w:rPr>
        <w:t xml:space="preserve">Zitiervorschlag: § 264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https://recht.nulegal.eu/gesetze/VAG%202016/264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