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263 VAG 2016 — Kapitalaufschlag für ein Gruppenunternehmen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Wenn ein Versicherungsunternehmen seine Solvabilitätskapitalanforderung auf Grundlage eines auf Gruppenebene genehmigten internen Modells berechnet und das Risikoprofil dieses Unternehmens nach Auffassung der Aufsichtsbehörde erheblich von den Annahmen abweicht, die diesem internen Modell zugrunde liegen, kann die Aufsichtsbehörde gemäß § 301 einen Kapitalaufschlag auf die anhand des internen Modells ermittelte Solvabilitätskapitalanforderung festsetzen. Der Kapitalaufschlag wird aufgehoben, sobald das betroffene Versicherungsunternehmen die Bedenken der Aufsichtsbehörde ausgeräumt hat.</w:t>
      </w:r>
    </w:p>
    <w:p>
      <w:r>
        <w:t xml:space="preserve">(2) Ist ein Kapitalaufschlag nach Absatz 1 ausnahmsweise nicht angemessen, kann die Aufsichtsbehörde von dem betreffenden Unternehmen verlangen, dessen Solvabilitätskapitalanforderung nach der Standardformel zu berechnen. Unter den in § 301 Absatz 1 Nummer 1 oder 3 genannten Voraussetzungen kann die Aufsichtsbehörde zusätzlich einen Kapitalaufschlag auf die anhand der Standardformel ermittelte Solvabilitätskapitalanforderung festsetzen. Die Aufsichtsbehörde begründet jede nach Absatz 1 und den Sätzen 1 und 2 getroffene Entscheidung sowohl gegenüber dem Versicherungsunternehmen als auch gegenüber den anderen Mitgliedern des Aufsichtskollegiums.</w:t>
      </w:r>
    </w:p>
    <w:p>
      <w:r>
        <w:rPr>
          <w:color w:val="555555"/>
          <w:sz w:val="17"/>
        </w:rPr>
        <w:t xml:space="preserve">Zitiervorschlag: § 263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