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261 VAG 2016 — Konsolidierungsmethode</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Nach der Konsolidierungsmethode wird die Gruppensolvabilität des beteiligten Versicherungsunternehmens auf der Grundlage des konsolidierten Abschlusses berechnet. Die Gruppensolvabilität des beteiligten Versicherungsunternehmens ist die Differenz zwischen den auf der Grundlage des konsolidierten Abschlusses errechneten, zur Einhaltung der Solvabilitätskapitalanforderung anrechnungsfähigen Eigenmitteln und der auf der Grundlage des konsolidierten Abschlusses errechneten Gruppensolvabilitätskapitalanforderung. Teil 2 Kapitel 2 Abschnitt 2 gilt für die Berechnung der auf die Solvabilitätskapitalanforderung anrechnungsfähigen Eigenmittel und der Gruppensolvabilitätskapitalanforderung unter Anwendung der Konsolidierungsmethode entsprechend.</w:t>
      </w:r>
    </w:p>
    <w:p>
      <w:r>
        <w:t xml:space="preserve">(2) Die konsolidierte Gruppensolvabilitätskapitalanforderung wird entweder mit der Standardformel oder mit einem genehmigten internen Modell berechnet.</w:t>
      </w:r>
    </w:p>
    <w:p>
      <w:r>
        <w:t xml:space="preserve">(3) Der Mindestbetrag der konsolidierten Gruppensolvabilitätskapitalanforderung ist die Summe aus der Mindestkapitalanforderung des beteiligten Versicherungsunternehmens und den der Beteiligungsquote entsprechenden anteiligen Mindestkapitalanforderungen der verbundenen Versicherungsunternehmen. Dieser Mindestbetrag ist mit anrechnungsfähigen Basiseigenmitteln gemäß § 95 zu bedecken. § 250 Absatz 1 Satz 2, die §§ 253 bis 260 und 135 Absatz 1 und 2 sind entsprechend anzuwenden.</w:t>
      </w:r>
    </w:p>
    <w:p>
      <w:r>
        <w:rPr>
          <w:color w:val="555555"/>
          <w:sz w:val="17"/>
        </w:rPr>
        <w:t xml:space="preserve">Zitiervorschlag: § 261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