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VAG 2016 — Risikomanagement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müssen über ein wirksames Risikomanagementsystem verfügen, das gut in die Organisationsstruktur und die Entscheidungsprozesse des Unternehmens integriert ist und dabei die Informationsbedürfnisse der Personen, die das Unternehmen tatsächlich leiten oder andere Schlüsselfunktionen innehaben, durch eine angemessene interne Berichterstattung gebührend berücksichtigt. Das Risikomanagementsystem muss die Strategien, Prozesse und internen Meldeverfahren umfassen, die erforderlich sind, um Risiken, denen das Unternehmen tatsächlich oder möglicherweise ausgesetzt ist, zu identifizieren, zu bewerten, zu überwachen und zu steuern sowie aussagefähig über diese Risiken zu berichten. Es muss einzeln und auf aggregierter Basis eine kontinuierliche Risikosteuerung unter Berücksichtigung der zwischen den Risiken bestehenden Interdependenzen ermöglichen. Auf Verlangen der Aufsichtsbehörde haben die Versicherungsunternehmen einen Sanierungsplan (allgemeiner Sanierungsplan) aufzustellen. Der allgemeine Sanierungsplan muss Szenarien beschreiben, die zu einer Gefährdung des Unternehmens führen können, und darlegen, mit welchen Maßnahmen diesen begegnet werden soll.</w:t>
      </w:r>
    </w:p>
    <w:p>
      <w:r>
        <w:t xml:space="preserve">(2) Zu den zu entwickelnden Strategien zählt insbesondere eine auf die Steuerung des Unternehmens abgestimmte Risikostrategie, die Art, Umfang und Komplexität des betriebenen Geschäfts und der mit ihm verbundenen Risiken berücksichtigt.</w:t>
      </w:r>
    </w:p>
    <w:p>
      <w:r>
        <w:t xml:space="preserve">(3) Wenn Versicherungsunternehmen die Matching-Anpassung gemäß § 80 oder die Volatilitätsanpassung gemäß § 82 anwenden, erstellen sie einen Liquiditätsplan, der die eingehenden und ausgehenden Zahlungsströme in Bezug auf die Vermögenswerte und Verbindlichkeiten projiziert, die diesen Anpassungen unterliegen.</w:t>
      </w:r>
    </w:p>
    <w:p>
      <w:r>
        <w:t xml:space="preserve">(4) Wird die Volatilitätsanpassung gemäß § 82 angewendet, umfassen die schriftlich festgelegten Leitlinien für das Risikomanagement gemäß § 23 Absatz 3 Leitlinien für die Kriterien zur Anwendung der Volatilitätsanpassung.</w:t>
      </w:r>
    </w:p>
    <w:p>
      <w:r>
        <w:t xml:space="preserve">(5) Das Risikomanagementsystem hat sämtliche Risiken des Versicherungsunternehmens zu umfassen und insbesondere die folgenden Bereiche abzudecken:</w:t>
      </w:r>
    </w:p>
    <w:p>
      <w:pPr>
        <w:ind w:left="420"/>
      </w:pPr>
      <w:r>
        <w:t xml:space="preserve">1. die Zeichnung von Versicherungsrisiken und die Bildung von Rückstellungen,</w:t>
      </w:r>
    </w:p>
    <w:p>
      <w:pPr>
        <w:ind w:left="420"/>
      </w:pPr>
      <w:r>
        <w:t xml:space="preserve">2. das Aktiv-Passiv-Management,</w:t>
      </w:r>
    </w:p>
    <w:p>
      <w:pPr>
        <w:ind w:left="420"/>
      </w:pPr>
      <w:r>
        <w:t xml:space="preserve">3. die Kapitalanlagen, insbesondere Derivate und Instrumente von vergleichbarer Komplexität,</w:t>
      </w:r>
    </w:p>
    <w:p>
      <w:pPr>
        <w:ind w:left="420"/>
      </w:pPr>
      <w:r>
        <w:t xml:space="preserve">4. die Steuerung des Liquiditäts- und des Konzentrationsrisikos,</w:t>
      </w:r>
    </w:p>
    <w:p>
      <w:pPr>
        <w:ind w:left="420"/>
      </w:pPr>
      <w:r>
        <w:t xml:space="preserve">5. die Steuerung operationeller Risiken und</w:t>
      </w:r>
    </w:p>
    <w:p>
      <w:pPr>
        <w:ind w:left="420"/>
      </w:pPr>
      <w:r>
        <w:t xml:space="preserve">6. die Rückversicherung und andere Risikominderungstechniken.</w:t>
      </w:r>
    </w:p>
    <w:p>
      <w:r>
        <w:t xml:space="preserve">Die innerbetrieblichen Leitlinien zum Risikomanagement müssen mindestens Vorgaben zu den genannten Bereichen machen.</w:t>
      </w:r>
    </w:p>
    <w:p>
      <w:r>
        <w:t xml:space="preserve">(6) In Bezug auf das Kapitalanlagerisiko müssen Versicherungsunternehmen nachweisen, dass sie die Anforderungen des § 124 einhalten.</w:t>
      </w:r>
    </w:p>
    <w:p>
      <w:r>
        <w:t xml:space="preserve">(7) In Bezug auf das Aktiv-Passiv-Management bewerten die Versicherungsunternehmen regelmäßig</w:t>
      </w:r>
    </w:p>
    <w:p>
      <w:pPr>
        <w:ind w:left="420"/>
      </w:pPr>
      <w:r>
        <w:t xml:space="preserve">1. die Sensitivität ihrer versicherungstechnischen Rückstellungen und anrechenbaren Eigenmittel in Bezug auf die Annahmen, die der Extrapolation der maßgeblichen risikofreien Zinskurve gemäß § 7 Nummer 21 zugrunde liegen;</w:t>
      </w:r>
    </w:p>
    <w:p>
      <w:pPr>
        <w:ind w:left="420"/>
      </w:pPr>
      <w:r>
        <w:t xml:space="preserve">2. wenn die Matching-Anpassung gemäß § 80 angewendet wird:</w:t>
      </w:r>
    </w:p>
    <w:p>
      <w:pPr>
        <w:ind w:left="780"/>
      </w:pPr>
      <w:r>
        <w:t xml:space="preserve">a) die Sensitivität ihrer versicherungstechnischen Rückstellungen und anrechenbaren Eigenmittel in Bezug auf die Annahmen, die der Berechnung der Matching-Anpassung zugrunde liegen, einschließlich der Berechnung des grundlegenden Spreads gemäß § 81 Nummer 2, und die potenziellen Auswirkungen von Zwangsverkäufen von Vermögenswerten auf ihre anrechenbaren Eigenmittel;</w:t>
      </w:r>
    </w:p>
    <w:p>
      <w:pPr>
        <w:ind w:left="780"/>
      </w:pPr>
      <w:r>
        <w:t xml:space="preserve">b) die Sensitivität ihrer versicherungstechnischen Rückstellungen und anrechenbaren Eigenmittel in Bezug auf Änderungen der Zusammensetzung des zugeordneten Vermögensportfolios;</w:t>
      </w:r>
    </w:p>
    <w:p>
      <w:pPr>
        <w:ind w:left="780"/>
      </w:pPr>
      <w:r>
        <w:t xml:space="preserve">c) die Auswirkung einer Verringerung der Matching-Anpassung auf null;</w:t>
      </w:r>
    </w:p>
    <w:p>
      <w:pPr>
        <w:ind w:left="420"/>
      </w:pPr>
      <w:r>
        <w:t xml:space="preserve">3. wenn die Volatilitätsanpassung gemäß § 82 angewendet wird:</w:t>
      </w:r>
    </w:p>
    <w:p>
      <w:pPr>
        <w:ind w:left="780"/>
      </w:pPr>
      <w:r>
        <w:t xml:space="preserve">a) die Sensitivität ihrer versicherungstechnischen Rückstellungen und anrechenbaren Eigenmittel in Bezug auf die Annahmen, die der Berechnung der Volatilitätsanpassung zugrunde liegen, und die potenziellen Auswirkungen einer erzwungenen Veräußerung von Vermögenswerten auf ihre anrechenbaren Eigenmittel,</w:t>
      </w:r>
    </w:p>
    <w:p>
      <w:pPr>
        <w:ind w:left="780"/>
      </w:pPr>
      <w:r>
        <w:t xml:space="preserve">b) die Auswirkung einer Verringerung der Volatilitätsanpassung auf null.</w:t>
      </w:r>
    </w:p>
    <w:p>
      <w:r>
        <w:t xml:space="preserve">Die Versicherungsunternehmen übermitteln die in Satz 1 genannten Bewertungen der Aufsichtsbehörde jährlich im Rahmen der gemäß § 43 zu übermittelnden Informationen. Falls eine Reduzierung der Matching-Anpassung oder der Volatilitätsanpassung auf null zur Nichteinhaltung der Solvabilitätskapitalanforderung führen würde, legt das Unternehmen darüber hinaus eine Analyse der Maßnahmen vor, die es in einer derartigen Situation anwenden könnte, um die anrechnungsfähigen Eigenmittel in der zur Einhaltung der Solvabilitätskapitalanforderung erforderlichen Höhe wieder aufzubringen oder das Risikoprofil zu senken, sodass die Einhaltung der Solvabilitätskapitalanforderung wiederhergestellt ist.</w:t>
      </w:r>
    </w:p>
    <w:p>
      <w:r>
        <w:t xml:space="preserve">(8) Die Versicherungsunternehmen müssen eine unabhängige Risikocontrollingfunktion einrichten, die so strukturiert ist, dass sie die Umsetzung des Risikomanagementsystems maßgeblich befördert. Bei Versicherungsunternehmen, die ein internes Modell verwenden, hat die Risikocontrollingfunktion zusätzlich die Aufgabe, das interne Modell zu entwickeln, umzusetzen, zu testen, zu validieren und einschließlich späterer Änderungen zu dokumentieren. Darüber hinaus analysiert sie die Leistungsfähigkeit des internen Modells und berichtet dem Vorstand in zusammengefasster Form über diese Analyse, gibt ihm Anregungen zur Verbesserung des Modells und hält ihn über Korrekturmaßnahmen für festgestellte Schwächen oder Mängel auf dem Laufenden.</w:t>
      </w:r>
    </w:p>
    <w:p>
      <w:r>
        <w:rPr>
          <w:color w:val="555555"/>
          <w:sz w:val="17"/>
        </w:rPr>
        <w:t xml:space="preserve">Zitiervorschlag: § 26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