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256 VAG 2016 — Verbundene Versicherungsunternehmen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Hat das Versicherungsunternehmen mehr als ein verbundenes Versicherungsunternehmen, umfasst die Berechnung der Gruppensolvabilität sämtliche verbundene Versicherungsunternehmen.</w:t>
      </w:r>
    </w:p>
    <w:p>
      <w:r>
        <w:t xml:space="preserve">(2) Bei der Berechnung der Gruppensolvabilität werden für ein verbundenes Versicherungsunternehmen, das seinen Sitz in einem anderen Mitglied- oder Vertragsstaat hat als das Versicherungsunternehmen, für das die Gruppensolvabilität berechnet wird, die Solvabilitätskapitalanforderung dieses anderen Mitglied- oder Vertragsstaats und die dort anrechnungsfähigen Eigenmittel berücksichtigt.</w:t>
      </w:r>
    </w:p>
    <w:p>
      <w:r>
        <w:rPr>
          <w:color w:val="555555"/>
          <w:sz w:val="17"/>
        </w:rPr>
        <w:t xml:space="preserve">Zitiervorschlag: § 256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https://recht.nulegal.eu/gesetze/VAG%202016/256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