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255 VAG 2016 — Ausschluss der gruppeninternen Kapitalschöpfung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Bei der Berechnung der Gruppensolvabilität bleiben anrechnungsfähige Eigenmittel unberücksichtigt, die aus einer Gegenfinanzierung stammen zwischen dem beteiligten Versicherungsunternehmen und</w:t>
      </w:r>
    </w:p>
    <w:p>
      <w:pPr>
        <w:ind w:left="420"/>
      </w:pPr>
      <w:r>
        <w:t xml:space="preserve">1. einem verbundenen Unternehmen,</w:t>
      </w:r>
    </w:p>
    <w:p>
      <w:pPr>
        <w:ind w:left="420"/>
      </w:pPr>
      <w:r>
        <w:t xml:space="preserve">2. einem beteiligten Unternehmen oder</w:t>
      </w:r>
    </w:p>
    <w:p>
      <w:pPr>
        <w:ind w:left="420"/>
      </w:pPr>
      <w:r>
        <w:t xml:space="preserve">3. einem anderen verbundenen Unternehmen eines seiner beteiligten Unternehmen.</w:t>
      </w:r>
    </w:p>
    <w:p>
      <w:r>
        <w:t xml:space="preserve">(2) Darüber hinaus bleiben bei der Berechnung der Gruppensolvabilität die Eigenmittel unberücksichtigt, die für die Solvabilitätskapitalanforderung eines verbundenen Versicherungsunternehmens des beteiligten Versicherungsunternehmens herangezogen werden können, wenn diese Eigenmittel aus einer Gegenfinanzierung mit einem anderen verbundenen Unternehmen dieses beteiligten Versicherungsunternehmens stammen.</w:t>
      </w:r>
    </w:p>
    <w:p>
      <w:r>
        <w:t xml:space="preserve">(3) Eine Gegenfinanzierung liegt insbesondere vor, wenn ein Versicherungsunternehmen oder eines seiner verbundenen Unternehmen Anteile an einem anderen Unternehmen hält oder einem anderen Unternehmen Darlehen gewährt, das seinerseits direkt oder indirekt Eigenmittel hält, die auf die Solvabilitätskapitalanforderung des Versicherungsunternehmens oder eines seiner verbundenen Unternehmen angerechnet werden können.</w:t>
      </w:r>
    </w:p>
    <w:p>
      <w:r>
        <w:rPr>
          <w:color w:val="555555"/>
          <w:sz w:val="17"/>
        </w:rPr>
        <w:t xml:space="preserve">Zitiervorschlag: § 255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