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254 VAG 2016 — Ausschluss der Mehrfachberücksichtigung anrechnungsfähiger Eigenmittel</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Auf die Solvabilitätskapitalanforderung anrechnungsfähige Eigenmittel dürfen bei mehreren in die Berechnung der Gruppensolvabilität einbezogenen Versicherungsunternehmen nicht mehrfach berücksichtigt werden. Bei der Berechnung der Gruppensolvabilität bleiben, sofern die in den §§ 261 bis 265 beschriebenen Methoden nicht etwas anderes vorsehen, die folgenden Beträge unberücksichtigt:</w:t>
      </w:r>
    </w:p>
    <w:p>
      <w:pPr>
        <w:ind w:left="420"/>
      </w:pPr>
      <w:r>
        <w:t xml:space="preserve">1. der Wert aller Vermögenswerte des beteiligten Versicherungsunternehmens, mit denen Eigenmittel finanziert werden, die auf die Solvabilitätskapitalanforderung eines seiner verbundenen Versicherungsunternehmen angerechnet werden dürfen,</w:t>
      </w:r>
    </w:p>
    <w:p>
      <w:pPr>
        <w:ind w:left="420"/>
      </w:pPr>
      <w:r>
        <w:t xml:space="preserve">2. der Wert aller Vermögenswerte eines mit dem beteiligten Versicherungsunternehmen verbundenen Versicherungsunternehmens, mit denen Eigenmittel finanziert werden, die auf die Solvabilitätskapitalanforderung dieses beteiligten Versicherungsunternehmens angerechnet werden dürfen, und</w:t>
      </w:r>
    </w:p>
    <w:p>
      <w:pPr>
        <w:ind w:left="420"/>
      </w:pPr>
      <w:r>
        <w:t xml:space="preserve">3. der Wert aller Vermögenswerte eines mit dem beteiligten Versicherungsunternehmen verbundenen Versicherungsunternehmens, mit denen Eigenmittel finanziert werden, die auf die Solvabilitätskapitalanforderung eines anderen mit diesem beteiligten Versicherungsunternehmen verbundenen Versicherungsunternehmens angerechnet werden dürfen.</w:t>
      </w:r>
    </w:p>
    <w:p>
      <w:r>
        <w:t xml:space="preserve">(2) Folgende Bestandteile dürfen nur insoweit in die Berechnung einbezogen werden, als sie auf die Solvabilitätskapitalanforderung des betreffenden verbundenen Unternehmens angerechnet werden dürfen:</w:t>
      </w:r>
    </w:p>
    <w:p>
      <w:pPr>
        <w:ind w:left="420"/>
      </w:pPr>
      <w:r>
        <w:t xml:space="preserve">1. Überschussfonds nach Artikel 91 Absatz 2 der Richtlinie 2009/138/EG eines verbundenen Lebensversicherungsunternehmens des beteiligten Versicherungsunternehmens, für das die Solvabilität auf Gruppenebene berechnet wird, und</w:t>
      </w:r>
    </w:p>
    <w:p>
      <w:pPr>
        <w:ind w:left="420"/>
      </w:pPr>
      <w:r>
        <w:t xml:space="preserve">2. nicht eingezahltes gezeichnetes Kapital eines verbundenen Versicherungsunternehmens des beteiligten Versicherungsunternehmens, für das die Solvabilität auf Gruppenebene berechnet wird.</w:t>
      </w:r>
    </w:p>
    <w:p>
      <w:r>
        <w:t xml:space="preserve">(3) Abweichend von Absatz 2 Nummer 2 sind die folgenden Bestandteile von der Berechnung auszunehmen:</w:t>
      </w:r>
    </w:p>
    <w:p>
      <w:pPr>
        <w:ind w:left="420"/>
      </w:pPr>
      <w:r>
        <w:t xml:space="preserve">1. nicht eingezahltes gezeichnetes Kapital, das für das beteiligte Versicherungsunternehmen zu einer Verbindlichkeit werden kann,</w:t>
      </w:r>
    </w:p>
    <w:p>
      <w:pPr>
        <w:ind w:left="420"/>
      </w:pPr>
      <w:r>
        <w:t xml:space="preserve">2. nicht eingezahltes gezeichnetes Kapital des beteiligten Versicherungsunternehmens, das für ein verbundenes Versicherungsunternehmen zu einer Verbindlichkeit werden kann, und</w:t>
      </w:r>
    </w:p>
    <w:p>
      <w:pPr>
        <w:ind w:left="420"/>
      </w:pPr>
      <w:r>
        <w:t xml:space="preserve">3. nicht eingezahltes gezeichnetes Kapital eines verbundenen Versicherungsunternehmens, das für ein anderes mit demselben beteiligten Versicherungsunternehmen verbundenes Versicherungsunternehmen zu einer Verbindlichkeit werden kann.</w:t>
      </w:r>
    </w:p>
    <w:p>
      <w:r>
        <w:t xml:space="preserve">(4) Sind die betroffenen Aufsichtsbehörden der Auffassung, dass über die in den Absätzen 2 und 3 genannten Bestandteile hinaus bestimmte auf die Solvabilitätskapitalanforderung eines verbundenen Versicherungsunternehmens anrechnungsfähige Eigenmittel zur Einhaltung der Solvabilitätskapitalanforderung des beteiligten Versicherungsunternehmens, für das die Gruppensolvabilität berechnet wird, tatsächlich nicht bereitgestellt werden können, so dürfen diese nur insoweit in die Berechnung einbezogen werden, als sie zur Einhaltung der Solvabilitätskapitalanforderung des verbundenen Unternehmens angerechnet werden dürfen.</w:t>
      </w:r>
    </w:p>
    <w:p>
      <w:r>
        <w:t xml:space="preserve">(5) Die Summe der Eigenmittel nach den Absätzen 2 bis 4 darf die Solvabilitätskapitalanforderung des verbundenen Versicherungsunternehmens nicht überschreiten.</w:t>
      </w:r>
    </w:p>
    <w:p>
      <w:r>
        <w:t xml:space="preserve">(6) Wird die Gruppensolvabilität berechnet, sind die anrechnungsfähigen ergänzenden Eigenmittel eines verbundenen Versicherungsunternehmens des beteiligten Versicherungsunternehmens nur in die Berechnung einzubeziehen, wenn die zuständige Aufsichtsbehörde dieses verbundenen Versicherungsunternehmens diese Eigenmittel genehmigt hat.</w:t>
      </w:r>
    </w:p>
    <w:p>
      <w:r>
        <w:rPr>
          <w:color w:val="555555"/>
          <w:sz w:val="17"/>
        </w:rPr>
        <w:t xml:space="preserve">Zitiervorschlag: § 254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https://recht.nulegal.eu/gesetze/VAG%202016/254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254 VAG 2016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