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253 VAG 2016 — Berücksichtigung des verhältnismäßigen Anteils</w:t>
      </w:r>
    </w:p>
    <w:p>
      <w:r>
        <w:rPr>
          <w:color w:val="555555"/>
          <w:sz w:val="18"/>
        </w:rPr>
        <w:t xml:space="preserve">Versicherungsaufsichtsgesetz</w:t>
      </w:r>
    </w:p>
    <w:p>
      <w:r>
        <w:rPr>
          <w:color w:val="555555"/>
          <w:sz w:val="18"/>
        </w:rPr>
        <w:t xml:space="preserve">Stand: 10.06.2019 (konsolidierte Textfassung, kein amtliches Inkrafttretensdatum)</w:t>
      </w:r>
    </w:p>
    <w:p>
      <w:r>
        <w:t xml:space="preserve">(1) Bei der Berechnung der Gruppensolvabilität ist der verhältnismäßige Anteil, den das beteiligte Unternehmen an seinen verbundenen Unternehmen hält, zu berücksichtigen.</w:t>
      </w:r>
    </w:p>
    <w:p>
      <w:r>
        <w:t xml:space="preserve">(2) Der verhältnismäßige Anteil im Sinne des Absatzes 1 bezeichnet</w:t>
      </w:r>
    </w:p>
    <w:p>
      <w:pPr>
        <w:ind w:left="420"/>
      </w:pPr>
      <w:r>
        <w:t xml:space="preserve">1. bei Anwendung der Konsolidierungsmethode die bei Erstellung des konsolidierten Abschlusses zugrunde gelegten Prozentsätze und</w:t>
      </w:r>
    </w:p>
    <w:p>
      <w:pPr>
        <w:ind w:left="420"/>
      </w:pPr>
      <w:r>
        <w:t xml:space="preserve">2. bei Anwendung der Abzugs- und Aggregationsmethode den Anteil am gezeichneten Kapital, der direkt oder indirekt vom beteiligten Unternehmen gehalten wird.</w:t>
      </w:r>
    </w:p>
    <w:p>
      <w:r>
        <w:t xml:space="preserve">(3) Ist das verbundene Unternehmen ein Tochterunternehmen, dessen Eigenmittel zur Einhaltung seiner Solvabilitätskapitalanforderung nicht ausreichen, ist diese Solvabilitätslücke unabhängig von der verwendeten Methode bei der Berechnung in voller Höhe zu berücksichtigen. Abweichend von Satz 1 kann die Gruppenaufsichtsbehörde zulassen, dass die Solvabilitätslücke nur anteilig berücksichtigt wird, wenn sich die Haftung des Mutterunternehmens nach Auffassung der betroffenen Aufsichtsbehörden ausschließlich auf den gehaltenen Kapitalanteil beschränkt.</w:t>
      </w:r>
    </w:p>
    <w:p>
      <w:r>
        <w:t xml:space="preserve">(4) Die Gruppenaufsichtsbehörde legt nach Anhörung der anderen betroffenen Aufsichtsbehörden und der Gruppe den verhältnismäßigen Anteil fest, der zu berücksichtigen ist, wenn</w:t>
      </w:r>
    </w:p>
    <w:p>
      <w:pPr>
        <w:ind w:left="420"/>
      </w:pPr>
      <w:r>
        <w:t xml:space="preserve">1. zwischen einigen Unternehmen einer Gruppe keine Kapitalbeziehungen bestehen,</w:t>
      </w:r>
    </w:p>
    <w:p>
      <w:pPr>
        <w:ind w:left="420"/>
      </w:pPr>
      <w:r>
        <w:t xml:space="preserve">2. eine Aufsichtsbehörde entschieden hat, dass auch das direkte oder indirekte Halten von Stimmrechten oder Kapital an einem Unternehmen als Beteiligung anzusehen ist, weil nach Auffassung der Aufsichtsbehörde tatsächlich ein maßgeblicher Einfluss auf dieses Unternehmen ausgeübt wird, oder</w:t>
      </w:r>
    </w:p>
    <w:p>
      <w:pPr>
        <w:ind w:left="420"/>
      </w:pPr>
      <w:r>
        <w:t xml:space="preserve">3. eine Aufsichtsbehörde entschieden hat, dass ein Unternehmen Mutterunternehmen eines anderen Unternehmens ist, weil es nach Auffassung der Aufsichtsbehörde tatsächlich einen beherrschenden Einfluss auf das andere Unternehmen ausübt.</w:t>
      </w:r>
    </w:p>
    <w:p>
      <w:r>
        <w:rPr>
          <w:color w:val="555555"/>
          <w:sz w:val="17"/>
        </w:rPr>
        <w:t xml:space="preserve">Zitiervorschlag: § 253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https://recht.nulegal.eu/gesetze/VAG%202016/253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