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252 VAG 2016 — Bestimmung der Methode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Solvabilität der Gruppe, an deren Spitze ein beteiligtes Versicherungsunternehmen steht, ist auf der Grundlage eines konsolidierten Abschlusses gemäß den §§ 261 bis 264 (Konsolidierungsmethode) zu berechnen.</w:t>
      </w:r>
    </w:p>
    <w:p>
      <w:r>
        <w:t xml:space="preserve">(2) Die Gruppenaufsichtsbehörde kann nach Anhörung der anderen betroffenen Aufsichtsbehörden und der Gruppe die Verwendung der in § 265 beschriebenen Methode (Abzugs- und Aggregationsmethode) oder, wenn die Verwendung der Konsolidierungsmethode allein nicht angemessen wäre, eine kombinierte Anwendung beider Methoden festlegen.</w:t>
      </w:r>
    </w:p>
    <w:p>
      <w:r>
        <w:rPr>
          <w:color w:val="555555"/>
          <w:sz w:val="17"/>
        </w:rPr>
        <w:t xml:space="preserve">Zitiervorschlag: § 252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https://recht.nulegal.eu/gesetze/VAG%202016/252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