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251 VAG 2016 — Häufigkeit der Berechnung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Solvabilitätskapitalanforderung auf Gruppenebene ist von den beteiligten Versicherungsunternehmen, der Versicherungs-Holdinggesellschaft oder der gemischten Finanzholding-Gesellschaft mindestens einmal im Jahr zu berechnen. Sofern das oberste beteiligte Unternehmen ein Versicherungsunternehmen ist, meldet dieses der Gruppenaufsichtsbehörde die für diese Berechnung maßgeblichen Daten und Ergebnisse. Sofern das oberste beteiligte Unternehmen eine Versicherungs-Holdinggesellschaft oder gemischte Finanzholding-Gesellschaft ist, meldet diese die Informationen gemäß Satz 2, sofern nicht die Gruppenaufsichtsbehörde nach Anhörung der anderen betroffenen Aufsichtsbehörden und der Gruppe ein Versicherungsunternehmen als zur Meldung verpflichtetes Unternehmen bestimmt hat.</w:t>
      </w:r>
    </w:p>
    <w:p>
      <w:r>
        <w:t xml:space="preserve">(2) Die Versicherungsunternehmen, die Versicherungs-Holdinggesellschaft und die gemischte Finanzholding-Gesellschaft im Sinne des Absatzes 1 haben die Solvabilitätskapitalanforderung der Gruppe laufend zu überwachen. Weicht das Risikoprofil der Gruppe erheblich von den Annahmen ab, die der zuletzt gemeldeten Solvabilitätskapitalanforderung für die Gruppe zugrunde liegen, ist die Solvabilitätskapitalanforderung unverzüglich neu zu berechnen und der Gruppenaufsichtsbehörde zu melden. Rechtfertigen Tatsachen die Annahme, dass sich das Risikoprofil der Gruppe seit der letzten Meldung der Solvabilitätskapitalanforderung erheblich geändert hat, so kann die Gruppenaufsichtsbehörde eine Neuberechnung der Solvabilitätskapitalanforderung verlangen.</w:t>
      </w:r>
    </w:p>
    <w:p>
      <w:r>
        <w:rPr>
          <w:color w:val="555555"/>
          <w:sz w:val="17"/>
        </w:rPr>
        <w:t xml:space="preserve">Zitiervorschlag: § 251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