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250 VAG 2016 — Überwachung der Gruppensolvabilität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22.01.2026 (konsolidierte Textfassung, kein amtliches Inkrafttretensdatum)</w:t>
      </w:r>
    </w:p>
    <w:p>
      <w:r>
        <w:t xml:space="preserve">(1) Die Solvabilität der Gruppe wird nach Maßgabe der Absätze 2 und 3, der §§ 275 bis 287 sowie 293 Absatz 1, § 298 Absatz 1 und 2, § 305 Absatz 1 Nummer 1 und § 306 Absatz 1 Satz 1 Nummer 1 überwacht. Vermögenswerte und Verbindlichkeiten werden nach § 74 bewertet.</w:t>
      </w:r>
    </w:p>
    <w:p>
      <w:r>
        <w:t xml:space="preserve">(2) In dem in § 245 Absatz 2 Nummer 1 genannten Fall haben die beteiligten Versicherungsunternehmen auf Gruppenebene stets über anrechnungsfähige Eigenmittel mindestens in Höhe der nach den §§ 252 bis 265 berechneten Solvabilitätskapitalanforderung zu verfügen.</w:t>
      </w:r>
    </w:p>
    <w:p>
      <w:r>
        <w:t xml:space="preserve">(3) In dem in § 245 Absatz 2 Nummer 2 genannten Fall haben die Versicherungsunternehmen einer Gruppe auf Gruppenebene stets über anrechnungsfähige Eigenmittel mindestens in Höhe der nach § 266 berechneten Solvabilitätskapitalanforderung zu verfügen.</w:t>
      </w:r>
    </w:p>
    <w:p>
      <w:r>
        <w:t xml:space="preserve">(4) Die §§ 132 und 134 Absatz 1 bis 6 gelten entsprechend.</w:t>
      </w:r>
    </w:p>
    <w:p>
      <w:r>
        <w:rPr>
          <w:color w:val="555555"/>
          <w:sz w:val="17"/>
        </w:rPr>
        <w:t xml:space="preserve">Zitiervorschlag: § 250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https://recht.nulegal.eu/gesetze/VAG%202016/250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250 VAG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