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249 VAG 2016 — Mutterunternehmen, die mehrere Mitglied- oder Vertragsstaaten umfassen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kann mit den Aufsichtsbehörden anderer Mitglied- oder Vertragsstaaten, in denen sich ein verbundenes Unternehmen befindet, das ebenfalls oberstes Mutterunternehmen auf nationaler Ebene ist, vereinbaren, auf Ebene einer mehrere Mitglied- oder Vertragsstaaten umspannenden Teilgruppe eine Gruppenaufsicht durchzuführen. Haben die betroffenen Aufsichtsbehörden eine solche Vereinbarung geschlossen, findet auf Ebene eines in einem anderen Mitglied- oder Vertragsstaat als der Teilgruppe gelegenen obersten Mutterunternehmens im Sinne des § 248 keine Gruppenaufsicht statt.</w:t>
      </w:r>
    </w:p>
    <w:p>
      <w:r>
        <w:t xml:space="preserve">(2) § 248 Absatz 2 bis 6 gilt entsprechend.</w:t>
      </w:r>
    </w:p>
    <w:p>
      <w:r>
        <w:rPr>
          <w:color w:val="555555"/>
          <w:sz w:val="17"/>
        </w:rPr>
        <w:t xml:space="preserve">Zitiervorschlag: § 249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