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247 VAG 2016 — Oberstes Mutterunternehmen auf Ebene der Mitglied- oder Vertragsstaaten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(1) Ist das in § 245 Absatz 2 Nummer 1 genannte beteiligte Versicherungsunternehmen oder die in § 245 Absatz 2 Nummer 2 genannte Versicherungs-Holdinggesellschaft oder gemischte Finanzholding-Gesellschaft selbst Tochterunternehmen eines anderen Versicherungsunternehmens oder einer anderen Versicherungs-Holdinggesellschaft oder gemischten Finanzholding-Gesellschaft mit Sitz in einem Mitglied- oder Vertragsstaat, so sind die §§ 250 bis 287 sowie 293 Absatz 1, § 298 Absatz 1 und 2, § 305 Absatz 1 Nummer 1 und § 306 Absatz 1 Satz 1 Nummer 1 nur auf Ebene der obersten Muttergesellschaft anzuwenden, die ein Versicherungsunternehmen oder eine Versicherungs-Holdinggesellschaft oder eine gemischte Finanzholding-Gesellschaft mit Sitz in einem Mitglied- oder Vertragsstaat ist.</w:t>
      </w:r>
    </w:p>
    <w:p>
      <w:r>
        <w:t xml:space="preserve">(2) Ist die in Absatz 1 genannte oberste Muttergesellschaft, die ein Versicherungsunternehmen oder eine Versicherungs-Holdinggesellschaft oder eine gemischte Finanzholding-Gesellschaft mit Sitz in einem Mitglied- oder Vertragsstaat ist, Tochterunternehmen eines Unternehmens, das nach Artikel 5 Absatz 2 der Richtlinie 2002/87/EG einer zusätzlichen Beaufsichtigung unterliegt, so kann die Gruppenaufsichtsbehörde nach Konsultation der anderen betroffenen Aufsichtsbehörden auf der Ebene dieses obersten Mutterunternehmens von der Überwachung der Risikokonzentration gemäß § 273, der Überwachung der gruppeninternen Transaktionen gemäß § 274 oder von beidem absehen.</w:t>
      </w:r>
    </w:p>
    <w:p>
      <w:r>
        <w:rPr>
          <w:color w:val="555555"/>
          <w:sz w:val="17"/>
        </w:rPr>
        <w:t xml:space="preserve">Zitiervorschlag: § 247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