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244d VAG 2016 — Verordnungsermächtigung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wird ermächtigt, im Einvernehmen mit dem Bundesministerium für Arbeit und Soziales durch Rechtsverordnung nähere Bestimmungen zu erlassen bezüglich</w:t>
      </w:r>
    </w:p>
    <w:p>
      <w:pPr>
        <w:ind w:left="420"/>
      </w:pPr>
      <w:r>
        <w:t xml:space="preserve">1. der Ermittlung und Anpassung der lebenslangen Zahlung,</w:t>
      </w:r>
    </w:p>
    <w:p>
      <w:pPr>
        <w:ind w:left="420"/>
      </w:pPr>
      <w:r>
        <w:t xml:space="preserve">2. der Anforderungen an das Risikomanagement, insbesondere mit dem Ziel, die Volatilität der Höhe der lebenslangen Zahlungen zu begrenzen,</w:t>
      </w:r>
    </w:p>
    <w:p>
      <w:pPr>
        <w:ind w:left="420"/>
      </w:pPr>
      <w:r>
        <w:t xml:space="preserve">3. der Informationspflichten gegenüber den Versorgungsanwärtern und Rentenempfängern und</w:t>
      </w:r>
    </w:p>
    <w:p>
      <w:pPr>
        <w:ind w:left="420"/>
      </w:pPr>
      <w:r>
        <w:t xml:space="preserve">4. der Berichterstattung gegenüber der Aufsichtsbehörde.</w:t>
      </w:r>
    </w:p>
    <w:p>
      <w:r>
        <w:t xml:space="preserve">Die Ermächtigung kann durch Rechtsverordnung im Einvernehmen mit dem Bundesministerium für Arbeit und Soziales auf die Bundesanstalt übertragen werden. Rechtsverordnungen nach den Sätzen 1 und 2 bedürfen nicht der Zustimmung des Bundesrates.</w:t>
      </w:r>
    </w:p>
    <w:p>
      <w:r>
        <w:rPr>
          <w:color w:val="555555"/>
          <w:sz w:val="17"/>
        </w:rPr>
        <w:t xml:space="preserve">Zitiervorschlag: § 244d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https://recht.nulegal.eu/gesetze/VAG%202016/244d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