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244c VAG 2016 — Sicherungsvermögen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Unter Berücksichtigung der jeweiligen Tarifverträge ist</w:t>
      </w:r>
    </w:p>
    <w:p>
      <w:pPr>
        <w:ind w:left="420"/>
      </w:pPr>
      <w:r>
        <w:t xml:space="preserve">1. im Fall eines Pensionsfonds ein gesondertes Sicherungsvermögen einzurichten und</w:t>
      </w:r>
    </w:p>
    <w:p>
      <w:pPr>
        <w:ind w:left="420"/>
      </w:pPr>
      <w:r>
        <w:t xml:space="preserve">2. im Fall einer Pensionskasse oder eines anderen Lebensversicherungsunternehmens ein gesonderter Anlagestock im Sinne des § 125 Absatz 5 einzurichten.</w:t>
      </w:r>
    </w:p>
    <w:p>
      <w:r>
        <w:rPr>
          <w:color w:val="555555"/>
          <w:sz w:val="17"/>
        </w:rPr>
        <w:t xml:space="preserve">Zitiervorschlag: § 244c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https://recht.nulegal.eu/gesetze/VAG%202016/244c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