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243 VAG 2016 — Grenzüberschreitende Geschäftstätigkeit von Einrichtungen, deren Herkunftsstaat ein anderer Mitglied- oder Vertragsstaat ist</w:t>
      </w:r>
    </w:p>
    <w:p>
      <w:r>
        <w:rPr>
          <w:color w:val="555555"/>
          <w:sz w:val="18"/>
        </w:rPr>
        <w:t xml:space="preserve">Versicherungsaufsichtsgesetz</w:t>
      </w:r>
    </w:p>
    <w:p>
      <w:r>
        <w:rPr>
          <w:color w:val="555555"/>
          <w:sz w:val="18"/>
        </w:rPr>
        <w:t xml:space="preserve">Stand: 01.04.2026 (konsolidierte Textfassung, kein amtliches Inkrafttretensdatum)</w:t>
      </w:r>
    </w:p>
    <w:p>
      <w:r>
        <w:t xml:space="preserve">(1) Die Absätze 2 bis 6 sind anzuwenden auf Altersversorgungssysteme,</w:t>
      </w:r>
    </w:p>
    <w:p>
      <w:pPr>
        <w:ind w:left="420"/>
      </w:pPr>
      <w:r>
        <w:t xml:space="preserve">1. die von einer Einrichtung, deren Herkunftsstaat ein anderer Mitglied- oder Vertragsstaat ist und eine Zulassung im Sinne des Artikels 9 Absatz 1 der Richtlinie (EU) 2016/2341 hat, im Rahmen einer grenzüberschreitenden Geschäftstätigkeit für das Trägerunternehmen betrieben werden und</w:t>
      </w:r>
    </w:p>
    <w:p>
      <w:pPr>
        <w:ind w:left="420"/>
      </w:pPr>
      <w:r>
        <w:t xml:space="preserve">2. bei denen der Tätigkeitsstaat Deutschland ist.</w:t>
      </w:r>
    </w:p>
    <w:p>
      <w:r>
        <w:t xml:space="preserve">(2) Hat die Bundesanstalt von den zuständigen Behörden des Herkunftsstaats der Einrichtung die in Artikel 11 Absatz 3 Satz 2 der Richtlinie (EU) 2016/2341 genannten Angaben erhalten, informiert sie innerhalb von sechs Wochen diese Behörden über</w:t>
      </w:r>
    </w:p>
    <w:p>
      <w:pPr>
        <w:ind w:left="420"/>
      </w:pPr>
      <w:r>
        <w:t xml:space="preserve">1. die einschlägigen arbeits- und sozialrechtlichen Vorschriften im Bereich der betrieblichen Altersversorgung, die einzuhalten sind, wenn in Deutschland Altersversorgungssysteme für ein Trägerunternehmen durchgeführt werden, sowie</w:t>
      </w:r>
    </w:p>
    <w:p>
      <w:pPr>
        <w:ind w:left="420"/>
      </w:pPr>
      <w:r>
        <w:t xml:space="preserve">2. die Vorschriften, die nach Titel IV der Richtlinie (EU) 2016/2341 erlassen worden sind.</w:t>
      </w:r>
    </w:p>
    <w:p>
      <w:r>
        <w:t xml:space="preserve">Die Einrichtung ist berechtigt, die grenzüberschreitende Geschäftstätigkeit im Einklang mit den in Satz 1 Nummer 1 und 2 genannten Vorschriften aufzunehmen, sobald sie von den zuständigen Behörden des Herkunftsstaats die von der Bundesanstalt übermittelten Informationen erhalten hat, spätestens aber nach Ablauf der in Satz 1 genannten Frist.</w:t>
      </w:r>
    </w:p>
    <w:p>
      <w:r>
        <w:t xml:space="preserve">(3) Die Bundesanstalt stellt fest, welchem Durchführungsweg im Sinne des § 1b Absatz 2 bis 4 des Betriebsrentengesetzes die Einrichtung zuzuordnen ist, und übermittelt die Feststellung an die Einrichtung und den Pensions-Sicherungs-Verein Versicherungsverein auf Gegenseitigkeit.</w:t>
      </w:r>
    </w:p>
    <w:p>
      <w:r>
        <w:t xml:space="preserve">(4) Die Bundesanstalt benachrichtigt die zuständigen Behörden des Herkunftsstaats über wesentliche Änderungen der in Absatz 2 Satz 1 Nummer 1 und 2 genannten Vorschriften.</w:t>
      </w:r>
    </w:p>
    <w:p>
      <w:r>
        <w:t xml:space="preserve">(5) Die Bundesanstalt überwacht laufend, ob die Einrichtung die in Absatz 2 Satz 1 Nummer 1 und 2 genannten Vorschriften einhält. Bei Verstößen gegen diese Vorschriften unterrichtet sie unverzüglich die zuständigen Behörden des Herkunftsstaats. Verstößt die Einrichtung weiterhin gegen die Vorschriften, kann die Bundesanstalt nach Unterrichtung der zuständigen Behörden des Herkunftsstaats selbst geeignete Maßnahmen ergreifen, um die Verstöße zu beenden oder zu ahnden. Kommt eine andere Lösung nicht in Betracht, kann sie der Einrichtung untersagen, weiter im Inland für das Trägerunternehmen tätig zu sein.</w:t>
      </w:r>
    </w:p>
    <w:p>
      <w:r>
        <w:t xml:space="preserve">(6) Für die Zwecke des Absatzes 5 Satz 1 ist § 305 Absatz 1 Nummer 1, Absatz 2 Nummer 1 und 2 sowie Absatz 3 entsprechend anwendbar.</w:t>
      </w:r>
    </w:p>
    <w:p>
      <w:r>
        <w:t xml:space="preserve">(7) Auf Antrag der Aufsichtsbehörde des Herkunftsstaats kann die Bundesanstalt die freie Verfügung über Vermögenswerte untersagen, die sich im Besitz eines Verwahrers oder einer Verwahrstelle mit Standort im Inland befinden.</w:t>
      </w:r>
    </w:p>
    <w:p>
      <w:r>
        <w:rPr>
          <w:color w:val="555555"/>
          <w:sz w:val="17"/>
        </w:rPr>
        <w:t xml:space="preserve">Zitiervorschlag: § 243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