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241 VAG 2016 — Grenzüberschreitende Geschäftstätigkeit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Grenzüberschreitende Geschäftstätigkeit einer Einrichtung der betrieblichen Altersversorgung liegt vor, wenn sie ein Altersversorgungssystem betreibt, bei dem der Tätigkeitsstaat ein anderer Mitglied- oder Vertragsstaat als der Herkunftsstaat der Einrichtung ist. Tätigkeitsstaat ist der Mitglied- oder Vertragsstaat, dessen sozial- und arbeitsrechtliche Vorschriften im Bereich der betrieblichen Altersversorgung auf die Beziehung zwischen dem Trägerunternehmen und seinen Versorgungsanwärtern und Versorgungsempfängern angewendet werden.</w:t>
      </w:r>
    </w:p>
    <w:p>
      <w:r>
        <w:t xml:space="preserve">(2) Auf Pensionskassen und Pensionsfonds sind die §§ 57 bis 60 nicht anwendbar. Für Einrichtungen der betrieblichen Altersversorgung, deren Herkunftsstaat ein anderer Mitglied- oder Vertragsstaat ist, sind die §§ 61 bis 66 nicht anwendbar.</w:t>
      </w:r>
    </w:p>
    <w:p>
      <w:r>
        <w:rPr>
          <w:color w:val="555555"/>
          <w:sz w:val="17"/>
        </w:rPr>
        <w:t xml:space="preserve">Zitiervorschlag: § 241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