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240 VAG 2016 — Verordnungsermächtigung</w:t>
      </w:r>
    </w:p>
    <w:p>
      <w:r>
        <w:rPr>
          <w:color w:val="555555"/>
          <w:sz w:val="18"/>
        </w:rPr>
        <w:t xml:space="preserve">Versicherungsaufsichtsgesetz</w:t>
      </w:r>
    </w:p>
    <w:p>
      <w:r>
        <w:rPr>
          <w:color w:val="555555"/>
          <w:sz w:val="18"/>
        </w:rPr>
        <w:t xml:space="preserve">Stand: 22.01.2026 (konsolidierte Textfassung, kein amtliches Inkrafttretensdatum)</w:t>
      </w:r>
    </w:p>
    <w:p>
      <w:r>
        <w:t xml:space="preserve">Das Bundesministerium der Finanzen wird ermächtigt, für Pensionsfonds, die nicht der Aufsicht durch die Aufsichtsbehörden der Länder unterliegen, durch Rechtsverordnung Vorschriften zu erlassen über</w:t>
      </w:r>
    </w:p>
    <w:p>
      <w:pPr>
        <w:ind w:left="420"/>
      </w:pPr>
      <w:r>
        <w:t xml:space="preserve">1. den Wortlaut der versicherungsmathematischen Bestätigung, den Inhalt, den Umfang und die Vorlagefrist des Erläuterungsberichts gemäß § 141 Absatz 5 Satz 1 Nummer 2 sowie über den Inhalt, den Umfang und die Vorlagefrist des Berichts gemäß § 141 Absatz 5 Satz 1 Nummer 4, jeweils in Verbindung mit § 237 Absatz 1;</w:t>
      </w:r>
    </w:p>
    <w:p>
      <w:pPr>
        <w:ind w:left="420"/>
      </w:pPr>
      <w:r>
        <w:t xml:space="preserve">2. die Buchführung, den Inhalt, die Form, die Frist und die Stückzahl des bei der Aufsichtsbehörde einzureichenden internen Berichts, bestehend aus einer für Aufsichtszwecke gegliederten Bilanz und einer Gewinn-und-Verlustrechnung sowie besonderen Erläuterungen zur Bilanz und zur Gewinn-und-Verlustrechnung, soweit dies zur Durchführung der Aufsicht nach diesem Gesetz erforderlich ist;</w:t>
      </w:r>
    </w:p>
    <w:p>
      <w:pPr>
        <w:ind w:left="420"/>
      </w:pPr>
      <w:r>
        <w:t xml:space="preserve">3. den Inhalt, die Form, die Frist und die Stückzahl des bei der Aufsichtsbehörde vierteljährlich einzureichenden internen Zwischenberichts, bestehend aus einer Zusammenstellung von aktuellen Buchhaltungs-und Bestandsdaten sowie aus Angaben über die Anzahl der Versorgungsfälle, soweit dies zur Durchführung der Aufsicht nach diesem Gesetz erforderlich ist;</w:t>
      </w:r>
    </w:p>
    <w:p>
      <w:pPr>
        <w:ind w:left="420"/>
      </w:pPr>
      <w:r>
        <w:t xml:space="preserve">4. den Inhalt, die Frist und die Form der Einreichung des bei der Aufsichtsbehörde einzureichenden Prüfungsberichts nach § 341k des Handelsgesetzbuchs, soweit dies zur Durchführung der Aufsicht nach diesem Gesetz erforderlich ist, insbesondere, um einheitliche Unterlagen zur Beurteilung der von den Pensionsfonds durchgeführten Geschäfte zu erhalten;</w:t>
      </w:r>
    </w:p>
    <w:p>
      <w:pPr>
        <w:ind w:left="420"/>
      </w:pPr>
      <w:r>
        <w:t xml:space="preserve">5. den Gegenstand der Prüfung sowie den Inhalt, die Form und die Frist des Prüfungsberichts gemäß § 35 Absatz 1 Satz 1, soweit dies zur Erfüllung der Aufgaben der Aufsichtsbehörde erforderlich ist, insbesondere, um einheitliche Unterlagen zur Beurteilung der von den Pensionsfonds durchgeführten Geschäfte zu erhalten;</w:t>
      </w:r>
    </w:p>
    <w:p>
      <w:pPr>
        <w:ind w:left="420"/>
      </w:pPr>
      <w:r>
        <w:t xml:space="preserve">6. die Art und Weise der Datenübermittlung, die zu verwendenden Datenformate sowie die einzuhaltende Datenqualität;</w:t>
      </w:r>
    </w:p>
    <w:p>
      <w:pPr>
        <w:ind w:left="420"/>
      </w:pPr>
      <w:r>
        <w:t xml:space="preserve">7. die Zuführung zur Rückstellung für Beitragsrückerstattung gemäß § 145 Absatz 2 in Verbindung mit § 237 Absatz 1;</w:t>
      </w:r>
    </w:p>
    <w:p>
      <w:pPr>
        <w:ind w:left="420"/>
      </w:pPr>
      <w:r>
        <w:t xml:space="preserve">8. Anlagegrundsätze qualitativer und quantitativer Art für das Sicherungsvermögen ergänzend zu § 124 Absatz 1 Satz 1 und 2 Nummer 1 Buchstabe a, Nummer 2, 3, 5 bis 8 sowie § 234h Absatz 1 bis 3, um die Kongruenz und die dauernde Erfüllbarkeit des jeweiligen Pensionsplans sicherzustellen, wobei die Anlageformen des § 215 Absatz 2 Satz 1 Nummer 1 bis 7 sowie weitere durch diese Verordnung zugelassene Anlageformen sowie die Festlegungen im Pensionsplan hinsichtlich des Anlagerisikos und des Trägers dieses Risikos zu berücksichtigen sind, sowie über Beschränkungen von Anlagen beim Trägerunternehmen;</w:t>
      </w:r>
    </w:p>
    <w:p>
      <w:pPr>
        <w:ind w:left="420"/>
      </w:pPr>
      <w:r>
        <w:t xml:space="preserve">9. die Berechnung und die Höhe der Solvabilitätskapitalanforderung, den für Pensionsfonds maßgeblichen Mindestbetrag der Mindestkapitalanforderung sowie damit zusammenhängende Genehmigungsbefugnisse einschließlich des Verfahrens, darüber, was als Eigenmittel im Sinne des § 238 Absatz 2 anzusehen ist, darüber, dass der Aufsichtsbehörde über die Solvabilitätskapitalanforderung und die Eigenmittel zu berichten ist sowie über die Form und den Inhalt und die Frist für die Einreichung dieses Berichts bei der Aufsichtsbehörde;</w:t>
      </w:r>
    </w:p>
    <w:p>
      <w:pPr>
        <w:ind w:left="420"/>
      </w:pPr>
      <w:r>
        <w:t xml:space="preserve">10. Höchstwerte für den Rechnungszins bei Verträgen mit Zinsgarantie;</w:t>
      </w:r>
    </w:p>
    <w:p>
      <w:pPr>
        <w:ind w:left="420"/>
      </w:pPr>
      <w:r>
        <w:t xml:space="preserve">11. weitere Vorgaben zur Ermittlung der Diskontierungszinssätze nach § 341f Absatz 2 des Handelsgesetzbuchs sowie</w:t>
      </w:r>
    </w:p>
    <w:p>
      <w:pPr>
        <w:ind w:left="420"/>
      </w:pPr>
      <w:r>
        <w:t xml:space="preserve">12. die versicherungsmathematischen Rechnungsgrundlagen und die Bewertungsansätze für die Deckungsrückstellung.</w:t>
      </w:r>
    </w:p>
    <w:p>
      <w:r>
        <w:t xml:space="preserve">Die Ermächtigung kann durch Rechtsverordnung auf die Bundesanstalt übertragen werden. Rechtsverordnungen nach den Sätzen 1 und 2 bedürfen nicht der Zustimmung des Bundesrates. Rechtsverordnungen nach Satz 1 Nummer 4 und 10 bis 12 und nach Satz 2, soweit sie die Ermächtigungen nach Satz 1 Nummer 4 und 10 bis 12 erfassen, ergehen im Einvernehmen mit dem Bundesministerium der Justiz und für Verbraucherschutz.</w:t>
      </w:r>
    </w:p>
    <w:p>
      <w:r>
        <w:rPr>
          <w:color w:val="555555"/>
          <w:sz w:val="17"/>
        </w:rPr>
        <w:t xml:space="preserve">Zitiervorschlag: § 240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