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238 VAG 2016 — Finanzielle Ausstattung</w:t>
      </w:r>
    </w:p>
    <w:p>
      <w:r>
        <w:rPr>
          <w:color w:val="555555"/>
          <w:sz w:val="18"/>
        </w:rPr>
        <w:t xml:space="preserve">Versicherungsaufsichtsgesetz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Für Pensionsfonds treten die Absätze 2 bis 5 an die Stelle des § 234g. In § 234f Absatz 2 Satz 2 tritt Absatz 4 an die Stelle von § 234g Absatz 3.</w:t>
      </w:r>
    </w:p>
    <w:p>
      <w:r>
        <w:t xml:space="preserve">(2) Pensionsfonds müssen stets über Eigenmittel mindestens in Höhe der Solvabilitätskapitalanforderung verfügen, die sich nach dem gesamten Geschäftsumfang bemisst.</w:t>
      </w:r>
    </w:p>
    <w:p>
      <w:r>
        <w:t xml:space="preserve">(3) Die Solvabilitätskapitalanforderung wird durch die Rechtsverordnung zu § 240 Satz 1 Nummer 9 bestimmt. Ein Drittel der Solvabilitätskapitalanforderung gilt als Mindestkapitalanforderung.</w:t>
      </w:r>
    </w:p>
    <w:p>
      <w:r>
        <w:t xml:space="preserve">(4) Für die Ermittlung der Eigenmittel ist die auf Grund des § 240 Satz 1 Nummer 9 erlassene Rechtsverordnung maßgebend.</w:t>
      </w:r>
    </w:p>
    <w:p>
      <w:r>
        <w:t xml:space="preserve">(5) Pensionsfonds haben der Aufsichtsbehörde jährlich eine Berechnung der Solvabilitätskapitalanforderung vorzulegen und ihr die Eigenmittel nachzuweisen.</w:t>
      </w:r>
    </w:p>
    <w:p>
      <w:r>
        <w:rPr>
          <w:color w:val="555555"/>
          <w:sz w:val="17"/>
        </w:rPr>
        <w:t xml:space="preserve">Zitiervorschlag: § 238 VAG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https://recht.nulegal.eu/gesetze/VAG%202016/238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