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236 VAG 2016 — Pensionsfonds</w:t>
      </w:r>
    </w:p>
    <w:p>
      <w:r>
        <w:rPr>
          <w:color w:val="555555"/>
          <w:sz w:val="18"/>
        </w:rPr>
        <w:t xml:space="preserve">Versicherungsaufsichtsgesetz</w:t>
      </w:r>
    </w:p>
    <w:p>
      <w:r>
        <w:rPr>
          <w:color w:val="555555"/>
          <w:sz w:val="18"/>
        </w:rPr>
        <w:t xml:space="preserve">Stand: 22.01.2026 (konsolidierte Textfassung, kein amtliches Inkrafttretensdatum)</w:t>
      </w:r>
    </w:p>
    <w:p>
      <w:r>
        <w:t xml:space="preserve">(1) Ein Pensionsfonds im Sinne dieses Gesetzes ist eine rechtsfähige Versorgungseinrichtung, die</w:t>
      </w:r>
    </w:p>
    <w:p>
      <w:pPr>
        <w:ind w:left="420"/>
      </w:pPr>
      <w:r>
        <w:t xml:space="preserve">1. im Wege des Kapitaldeckungsverfahrens Leistungen der betrieblichen Altersversorgung für einen oder mehrere Arbeitgeber zugunsten von Arbeitnehmern erbringt,</w:t>
      </w:r>
    </w:p>
    <w:p>
      <w:pPr>
        <w:ind w:left="420"/>
      </w:pPr>
      <w:r>
        <w:t xml:space="preserve">2. die Höhe der Leistungen oder die Höhe der für diese Leistungen zu entrichtenden künftigen Beiträge nicht für alle vorgesehenen Leistungsfälle durch versicherungsförmige Garantien zusagen darf,</w:t>
      </w:r>
    </w:p>
    <w:p>
      <w:pPr>
        <w:ind w:left="420"/>
      </w:pPr>
      <w:r>
        <w:t xml:space="preserve">3. den Arbeitnehmern einen eigenen Anspruch auf Leistung gegen den Pensionsfonds einräumt und</w:t>
      </w:r>
    </w:p>
    <w:p>
      <w:pPr>
        <w:ind w:left="420"/>
      </w:pPr>
      <w:r>
        <w:t xml:space="preserve">4. verpflichtet ist, die Altersversorgungsleistung als lebenslange Zahlung, als Einmalkapitalzahlung oder als Kapitalzahlung in Raten zu erbringen.</w:t>
      </w:r>
    </w:p>
    <w:p>
      <w:r>
        <w:t xml:space="preserve">Eine lebenslange Zahlung im Sinne des Satzes 1 Nummer 4 kann mit einem teilweisen oder vollständigen Kapitalwahlrecht verbunden werden; die Auszahlung des Kapitals kann als Einmalkapitalzahlung oder als Kapitalzahlung in Raten vorgesehen werden. Pensionsfonds dürfen auch Sterbegeldzahlungen an Dritte erbringen, wobei das Sterbegeld begrenzt ist auf die Höhe der gewöhnlichen Bestattungskosten.</w:t>
      </w:r>
    </w:p>
    <w:p>
      <w:r>
        <w:t xml:space="preserve">(2) Pensionsfonds können Altersversorgungsleistungen abweichend von Absatz 1 Satz 1 Nummer 4 erbringen, solange Beitragszahlungen durch den Arbeitgeber auch in der Rentenbezugszeit oder während einer Kapitalzahlung in Raten vorgesehen sind. Ein fester Termin für das Ende der Beitragszahlungen darf nicht vorgesehen werden. Satz 1 gilt nicht für Zusagen im Sinne des § 1 Absatz 2 Nummer 2 des Betriebsrentengesetzes.</w:t>
      </w:r>
    </w:p>
    <w:p>
      <w:r>
        <w:t xml:space="preserve">(3) Bei Zusagen im Sinne des § 1 Absatz 2 Nummer 2 des Betriebsrentengesetzes können Pensionsfonds lebenslange Zahlungen und Raten von Kapitalzahlungen als Altersversorgungsleistungen abweichend von Absatz 1 Satz 1 Nummer 4 erbringen, wenn</w:t>
      </w:r>
    </w:p>
    <w:p>
      <w:pPr>
        <w:ind w:left="420"/>
      </w:pPr>
      <w:r>
        <w:t xml:space="preserve">1. die zuständigen Tarifvertragsparteien zustimmen,</w:t>
      </w:r>
    </w:p>
    <w:p>
      <w:pPr>
        <w:ind w:left="420"/>
      </w:pPr>
      <w:r>
        <w:t xml:space="preserve">2. der Pensionsplan eine lebenslange Zahlung oder eine Kapitalzahlung in Raten sowie eine Mindesthöhe der lebenslangen Zahlung oder der Raten der Kapitalzahlung zur Auszahlung des nach § 1 Absatz 2 Nummer 2 des Betriebsrentengesetzes zur Verfügung zu stellenden Versorgungskapitals vorsieht,</w:t>
      </w:r>
    </w:p>
    <w:p>
      <w:pPr>
        <w:ind w:left="420"/>
      </w:pPr>
      <w:r>
        <w:t xml:space="preserve">3. eine planmäßige Verwendung dieses Versorgungskapitals sowie der darauf entfallenden Zinsen und Erträge für laufende Leistungen festgelegt ist und</w:t>
      </w:r>
    </w:p>
    <w:p>
      <w:pPr>
        <w:ind w:left="420"/>
      </w:pPr>
      <w:r>
        <w:t xml:space="preserve">4. der Pensionsfonds die Zusage des Arbeitgebers nachweist, selbst für die Erbringung der Mindesthöhe einzustehen, und die Zustimmung der Tarifvertragsparteien nach Nummer 1 der Aufsichtsbehörde vorlegt.</w:t>
      </w:r>
    </w:p>
    <w:p>
      <w:r>
        <w:t xml:space="preserve">Absatz 2 Satz 2 gilt entsprechend.</w:t>
      </w:r>
    </w:p>
    <w:p>
      <w:r>
        <w:t xml:space="preserve">(4) Als Arbeitnehmer im Sinne dieser Vorschrift gelten auch ehemalige Arbeitnehmer sowie die unter § 17 Absatz 1 Satz 2 des Betriebsrentengesetzes fallenden Personen.</w:t>
      </w:r>
    </w:p>
    <w:p>
      <w:r>
        <w:t xml:space="preserve">(5) Pensionsfonds bedürfen zum Geschäftsbetrieb der Erlaubnis der Aufsichtsbehörde.</w:t>
      </w:r>
    </w:p>
    <w:p>
      <w:r>
        <w:t xml:space="preserve">(6) Das Bundesministerium der Finanzen wird ermächtigt, durch Rechtsverordnung im Fall des Absatzes 3 nähere Bestimmungen zu erlassen zu</w:t>
      </w:r>
    </w:p>
    <w:p>
      <w:pPr>
        <w:ind w:left="420"/>
      </w:pPr>
      <w:r>
        <w:t xml:space="preserve">1. einer Auszahlungsbegrenzung des Pensionsfonds für den Fall, dass der Arbeitgeber die Mindesthöhe zu erbringen hat,</w:t>
      </w:r>
    </w:p>
    <w:p>
      <w:pPr>
        <w:ind w:left="420"/>
      </w:pPr>
      <w:r>
        <w:t xml:space="preserve">2. Vorschriften für die Ermittlung und Anpassung der lebenslangen Zahlung oder der Raten einer Kapitalzahlung sowie für die Ermittlung der Mindesthöhe der lebenslangen Zahlung oder der Raten der Kapitalzahlung,</w:t>
      </w:r>
    </w:p>
    <w:p>
      <w:pPr>
        <w:ind w:left="420"/>
      </w:pPr>
      <w:r>
        <w:t xml:space="preserve">3. Form und Inhalt der Zusage des Arbeitgebers, selbst für die Erbringung der Mindesthöhe einzustehen, sowie des Nachweises dieser Zusage.</w:t>
      </w:r>
    </w:p>
    <w:p>
      <w:r>
        <w:t xml:space="preserve">Die Ermächtigung kann durch Rechtsverordnung auf die Bundesanstalt übertragen werden. Diese erlässt die Vorschriften im Benehmen mit den Versicherungsaufsichtsbehörden der Länder. Rechtsverordnungen nach den Sätzen 1 bis 3 bedürfen nicht der Zustimmung des Bundesrates.</w:t>
      </w:r>
    </w:p>
    <w:p>
      <w:r>
        <w:rPr>
          <w:color w:val="555555"/>
          <w:sz w:val="17"/>
        </w:rPr>
        <w:t xml:space="preserve">Zitiervorschlag: § 236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