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235 VAG 2016 — Verordnungsermächtigungen zur Finanzaufsicht</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Das Bundesministerium der Finanzen wird ermächtigt, für Pensionskassen durch Rechtsverordnung Vorschriften zu erlassen</w:t>
      </w:r>
    </w:p>
    <w:p>
      <w:pPr>
        <w:ind w:left="420"/>
      </w:pPr>
      <w:r>
        <w:t xml:space="preserve">1. über die Berechnung und die Höhe der Solvabilitätskapitalanforderung;</w:t>
      </w:r>
    </w:p>
    <w:p>
      <w:pPr>
        <w:ind w:left="420"/>
      </w:pPr>
      <w:r>
        <w:t xml:space="preserve">2. über den maßgebenden Mindestbetrag der Mindestkapitalanforderung sowie über seine Berechnung;</w:t>
      </w:r>
    </w:p>
    <w:p>
      <w:pPr>
        <w:ind w:left="420"/>
      </w:pPr>
      <w:r>
        <w:t xml:space="preserve">3. darüber, wie nicht in der Bilanz ausgewiesene Eigenmittel errechnet werden und in welchem Umfang sie auf die Solvabilitätskapitalanforderung und die Mindestkapitalanforderung angerechnet werden dürfen;</w:t>
      </w:r>
    </w:p>
    <w:p>
      <w:pPr>
        <w:ind w:left="420"/>
      </w:pPr>
      <w:r>
        <w:t xml:space="preserve">4. über einen oder mehrere Höchstwerte für den Rechnungszins bei Versicherungsverträgen mit Zinsgarantie;</w:t>
      </w:r>
    </w:p>
    <w:p>
      <w:pPr>
        <w:ind w:left="420"/>
      </w:pPr>
      <w:r>
        <w:t xml:space="preserve">5. über weitere Vorgaben zur Ermittlung der Diskontierungszinssätze nach § 341f Absatz 2 des Handelsgesetzbuchs;</w:t>
      </w:r>
    </w:p>
    <w:p>
      <w:pPr>
        <w:ind w:left="420"/>
      </w:pPr>
      <w:r>
        <w:t xml:space="preserve">6. über die Höchstbeträge für die Zillmerung;</w:t>
      </w:r>
    </w:p>
    <w:p>
      <w:pPr>
        <w:ind w:left="420"/>
      </w:pPr>
      <w:r>
        <w:t xml:space="preserve">7. über die versicherungsmathematischen Rechnungsgrundlagen und die Bewertungsansätze für die Deckungsrückstellung;</w:t>
      </w:r>
    </w:p>
    <w:p>
      <w:pPr>
        <w:ind w:left="420"/>
      </w:pPr>
      <w:r>
        <w:t xml:space="preserve">8. darüber, wie bei Pensionskassen, bei denen vertraglich sowohl Arbeitnehmer als auch Arbeitgeber zur Prämienzahlung verpflichtet sind, für Lebensversicherungsverträge, denen kein genehmigter Geschäftsplan zugrunde liegt, der auf die Arbeitnehmer entfallende Teil der überrechnungsmäßigen Erträge zu bestimmen ist und welche Beteiligung der Arbeitnehmer an diesen Erträgen angemessen im Sinne des § 140 Absatz 2 ist;</w:t>
      </w:r>
    </w:p>
    <w:p>
      <w:pPr>
        <w:ind w:left="420"/>
      </w:pPr>
      <w:r>
        <w:t xml:space="preserve">9. über die versicherungsmathematischen Methoden zur Berechnung der Prämien einschließlich der Prämienänderungen und der versicherungstechnischen Rückstellungen im Sinne der §§ 341e bis 341h des Handelsgesetzbuchs, insbesondere der Deckungsrückstellung, bei Pensionskassen mit kollektiven Finanzierungssystemen für Lebensversicherungsverträge, denen kein genehmigter Geschäftsplan zugrunde liegt, insbesondere darüber wie die maßgeblichen Annahmen zur Sterblichkeit, zur Alters- und Geschlechtsabhängigkeit des Risikos und zur Stornowahrscheinlichkeit, die Annahmen über die Zusammensetzung des Bestandes und des Neuzugangs, der Zinssatz einschließlich der Höhe der Sicherheitszuschläge und die Grundsätze für die Bemessung der sonstigen Zuschläge zu berücksichtigen sind;</w:t>
      </w:r>
    </w:p>
    <w:p>
      <w:pPr>
        <w:ind w:left="420"/>
      </w:pPr>
      <w:r>
        <w:t xml:space="preserve">10. über Anlagegrundsätze qualitativer und quantitativer Art für das Sicherungsvermögen ergänzend zu § 124 Absatz 1 Satz 1 und 2 Nummer 1 Buchstabe a, Nummer 2, 3, 5 bis 8 sowie § 234h Absatz 1 bis 3, um die Kongruenz sowie die dauernde Erfüllbarkeit des jeweiligen Geschäftsplans sicherzustellen, wobei die Anlageformen des § 215 Absatz 2 Satz 1 Nummer 1 bis 7 und weitere durch diese Verordnung zugelassene Anlageformen sowie die Festlegungen im Geschäftsplan hinsichtlich des Anlagerisikos und des Trägers dieses Risikos zu berücksichtigen sind, sowie über Beschränkungen von Anlagen beim Trägerunternehmen;</w:t>
      </w:r>
    </w:p>
    <w:p>
      <w:pPr>
        <w:ind w:left="420"/>
      </w:pPr>
      <w:r>
        <w:t xml:space="preserve">11. über den Inhalt der Prüfungsberichte gemäß § 35 Absatz 1, soweit dies zur Erfüllung der Aufgaben der Aufsichtsbehörde erforderlich ist, insbesondere, um einheitliche Unterlagen zur Beurteilung der von den Pensionskassen durchgeführten Versicherungsgeschäfte zu erhalten;</w:t>
      </w:r>
    </w:p>
    <w:p>
      <w:pPr>
        <w:ind w:left="420"/>
      </w:pPr>
      <w:r>
        <w:t xml:space="preserve">12. über den Inhalt, die Form und die Stückzahl der gemäß § 234g Absatz 4 zu erstellenden Solvabilitätsübersicht und des Berichts über die Vermögensanlagen sowie die Frist für die Einreichung bei der Aufsichtsbehörde und</w:t>
      </w:r>
    </w:p>
    <w:p>
      <w:pPr>
        <w:ind w:left="420"/>
      </w:pPr>
      <w:r>
        <w:t xml:space="preserve">13. über die Art und Weise der Datenübermittlung, die zu verwendenden Datenformate sowie die einzuhaltende Datenqualität.</w:t>
      </w:r>
    </w:p>
    <w:p>
      <w:r>
        <w:t xml:space="preserve">(2) Die Ermächtigung kann durch Rechtsverordnung auf die Bundesanstalt übertragen werden. Rechtsverordnungen nach Absatz 1 Satz 1 und nach Satz 1 bedürfen nicht der Zustimmung des Bundesrates. Rechtsverordnungen nach Absatz 1 Satz 1 Nummer 9 und 11 und nach Satz 1, soweit sie die Ermächtigung nach Absatz 1 Satz 1 Nummer 9 und 11 erfassen, ergehen im Einvernehmen mit dem Bundesministerium der Justiz und für Verbraucherschutz.</w:t>
      </w:r>
    </w:p>
    <w:p>
      <w:r>
        <w:rPr>
          <w:color w:val="555555"/>
          <w:sz w:val="17"/>
        </w:rPr>
        <w:t xml:space="preserve">Zitiervorschlag: § 235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