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234f VAG 2016 — Allgemeines</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Für Pensionskassen gelten nicht die §§ 74 bis 88 und 133, 134 Absatz 4 und 5, die §§ 301 und 304 Absatz 1 Nummer 2 sowie die §§ 341 bis 352.</w:t>
      </w:r>
    </w:p>
    <w:p>
      <w:r>
        <w:t xml:space="preserve">(2) An die Stelle der §§ 89 bis 123 tritt § 234g Absatz 1 bis 3. Soweit in den auf Pensionskassen anwendbaren Vorschriften auf Basiseigenmittel oder anrechnungsfähige Eigenmittel Bezug genommen wird, treten an deren Stelle die Eigenmittel nach § 234g Absatz 3.</w:t>
      </w:r>
    </w:p>
    <w:p>
      <w:r>
        <w:t xml:space="preserve">(3) Abweichend von § 134 Absatz 3 Satz 2 kann die Aufsichtsbehörde die Frist nach § 134 Absatz 3 Satz 1 um einen angemessenen Zeitraum verlängern. Sie kann auf Antrag der Pensionskasse die Frist nach § 134 Absatz 2 um einen Monat verlängern. Die Aufsichtsbehörde kann die Frist nach § 135 Absatz 2 Satz 1 um höchstens zwei Monate und die Frist nach § 135 Absatz 2 Satz 2 auf höchstens zwölf Monate verlängern.</w:t>
      </w:r>
    </w:p>
    <w:p>
      <w:r>
        <w:t xml:space="preserve">(4) Die Aufsichtsbehörde kann die Erlaubnis widerrufen, wenn es der Pensionskasse nicht gelingt, innerhalb von drei Monaten nach Feststellung der Nichtbedeckung der Mindestkapitalanforderung den genehmigten Finanzierungsplan zu erfüllen. Die Aufsichtsbehörde hat die Erlaubnis zu widerrufen, wenn sie der Auffassung ist, dass der vorgelegte Finanzierungsplan offensichtlich unzureichend ist, oder wenn es der Pensionskasse nicht gelingt, innerhalb von zwölf Monaten nach Feststellung der Nichtbedeckung der Mindestkapitalanforderung den genehmigten Finanzierungsplan zu erfüllen.</w:t>
      </w:r>
    </w:p>
    <w:p>
      <w:r>
        <w:rPr>
          <w:color w:val="555555"/>
          <w:sz w:val="17"/>
        </w:rPr>
        <w:t xml:space="preserve">Zitiervorschlag: § 234f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https://recht.nulegal.eu/gesetze/VAG%202016/234f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