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234e VAG 2016 — Ergänzende Vorschriften zur Ausgliederung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Tätigkeiten ausgegliedert, müssen Pensionskassen einen geeigneten Dienstleister auswählen und kontinuierlich überwachen, dass der Dienstleister die ausgegliederten Tätigkeiten ordnungsgemäß durchführt.</w:t>
      </w:r>
    </w:p>
    <w:p>
      <w:r>
        <w:t xml:space="preserve">(2) Pensionskassen haben mit dem Dienstleister eine schriftliche, rechtlich bindende Vereinbarung über eine Ausgliederung zu schließen, die die Rechte und Pflichten der Beteiligten festlegt.</w:t>
      </w:r>
    </w:p>
    <w:p>
      <w:r>
        <w:t xml:space="preserve">(3) § 32 Absatz 3 und § 47 Nummer 8 und 9 sind auch auf die Ausgliederung sonstiger Tätigkeiten, die diesem Gesetz unterliegen, anzuwenden.</w:t>
      </w:r>
    </w:p>
    <w:p>
      <w:r>
        <w:rPr>
          <w:color w:val="555555"/>
          <w:sz w:val="17"/>
        </w:rPr>
        <w:t xml:space="preserve">Zitiervorschlag: § 234e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https://recht.nulegal.eu/gesetze/VAG%202016/234e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234e VAG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