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234b VAG 2016 — Besondere Vorschriften zu Schlüsselfunktionen</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Pensionskassen ermöglichen der verantwortlichen Person für eine Schlüsselfunktion, ihre Aufgaben effektiv, objektiv, sachgemäß und unabhängig ausüben zu können.</w:t>
      </w:r>
    </w:p>
    <w:p>
      <w:r>
        <w:t xml:space="preserve">(2) Die für die interne Revisionsfunktion verantwortliche Person darf keine andere Schlüsselfunktion innerhalb der Pensionskasse ausüben.</w:t>
      </w:r>
    </w:p>
    <w:p>
      <w:r>
        <w:t xml:space="preserve">(3) Die verantwortliche Person für eine Schlüsselfunktion darf im Trägerunternehmen nur dann eine ähnliche Aufgabe ausüben, wenn</w:t>
      </w:r>
    </w:p>
    <w:p>
      <w:pPr>
        <w:ind w:left="420"/>
      </w:pPr>
      <w:r>
        <w:t xml:space="preserve">1. dies der Größenordnung, der Art, dem Umfang und der Komplexität der Tätigkeiten der Pensionskasse angemessen ist und</w:t>
      </w:r>
    </w:p>
    <w:p>
      <w:pPr>
        <w:ind w:left="420"/>
      </w:pPr>
      <w:r>
        <w:t xml:space="preserve">2. die Pensionskasse gegenüber der Aufsichtsbehörde darlegt, wie sie Interessenkonflikte mit dem Trägerunternehmen verhindert oder mit ihnen verfährt.</w:t>
      </w:r>
    </w:p>
    <w:p>
      <w:r>
        <w:t xml:space="preserve">Die Pensionskasse übermittelt der Aufsichtsbehörde unverzüglich eine Stellungnahme nach Satz 1 Nummer 2, wenn die verantwortliche Person für eine Schlüsselfunktion eine ähnliche Aufgabe im Trägerunternehmen ausübt oder übernehmen soll.</w:t>
      </w:r>
    </w:p>
    <w:p>
      <w:r>
        <w:t xml:space="preserve">(4) Die für eine Schlüsselfunktion verantwortliche Person hat dem Vorstand alle wesentlichen Feststellungen und Empfehlungen aus ihrem Verantwortungsbereich mitzuteilen. Der Vorstand entscheidet, welche Maßnahmen zu treffen sind. Die verantwortliche Person für die Schlüsselfunktion ist verpflichtet, der Aufsichtsbehörde zu melden, dass der Vorstand nicht rechtzeitig geeignete Maßnahmen getroffen hat, wenn die Pensionskasse</w:t>
      </w:r>
    </w:p>
    <w:p>
      <w:pPr>
        <w:ind w:left="420"/>
      </w:pPr>
      <w:r>
        <w:t xml:space="preserve">1. dem erheblichen Risiko ausgesetzt ist, wesentliche gesetzliche Anforderungen nicht zu erfüllen, und dies</w:t>
      </w:r>
    </w:p>
    <w:p>
      <w:pPr>
        <w:ind w:left="780"/>
      </w:pPr>
      <w:r>
        <w:t xml:space="preserve">a) dem Vorstand mitgeteilt wurde sowie</w:t>
      </w:r>
    </w:p>
    <w:p>
      <w:pPr>
        <w:ind w:left="780"/>
      </w:pPr>
      <w:r>
        <w:t xml:space="preserve">b) wesentliche Auswirkungen auf die Interessen von Versorgungsanwärtern und Versorgungsempfängern haben könnte, oder</w:t>
      </w:r>
    </w:p>
    <w:p>
      <w:pPr>
        <w:ind w:left="420"/>
      </w:pPr>
      <w:r>
        <w:t xml:space="preserve">2. in einem der Verantwortung der Schlüsselfunktion unterfallenden Bereich in erheblicher Weise gegen geltende Rechts- oder Verwaltungsvorschriften verstößt und dem Vorstand dies mitgeteilt wurde.</w:t>
      </w:r>
    </w:p>
    <w:p>
      <w:r>
        <w:t xml:space="preserve">Die Pflicht zur Meldung besteht nicht, wenn die verantwortliche Person für die Schlüsselfunktion sich selbst oder einen der in § 383 Absatz 1 Nummer 1 bis 3 der Zivilprozessordnung bezeichneten Angehörigen der Gefahr strafgerichtlicher Verfolgung oder eines Verfahrens nach dem Gesetz über Ordnungswidrigkeiten aussetzen würde. Wegen einer Meldung nach Satz 3 darf die verantwortliche Person für die Schlüsselfunktion weder nach arbeitsrechtlichen noch nach strafrechtlichen Vorschriften verantwortlich gemacht werden. Sie darf nicht zum Ersatz von Schäden herangezogen werden, es sei denn, die Meldung ist vorsätzlich oder grob fahrlässig unwahr abgegeben worden. Ihre Berechtigung zur Abgabe von Meldungen nach Satz 3 darf vertraglich nicht eingeschränkt werden. Entgegenstehende Vereinbarungen sind unwirksam.</w:t>
      </w:r>
    </w:p>
    <w:p>
      <w:r>
        <w:t xml:space="preserve">(5) Die versicherungsmathematische Funktion hat die Berechnung der versicherungstechnischen Rückstellungen auch zu überwachen. Abweichend von § 31 Absatz 1 Satz 2 Nummer 2 und 4 hat sie</w:t>
      </w:r>
    </w:p>
    <w:p>
      <w:pPr>
        <w:ind w:left="420"/>
      </w:pPr>
      <w:r>
        <w:t xml:space="preserve">1. die Angemessenheit der für die Berechnung der versicherungstechnischen Rückstellungen verwendeten Methoden und Basismodelle sowie der zu diesem Zweck zugrunde gelegten Annahmen zu beurteilen,</w:t>
      </w:r>
    </w:p>
    <w:p>
      <w:pPr>
        <w:ind w:left="420"/>
      </w:pPr>
      <w:r>
        <w:t xml:space="preserve">2. die bei der Berechnung der versicherungstechnischen Rückstellungen zugrunde gelegten Annahmen mit den Erfahrungswerten zu vergleichen.</w:t>
      </w:r>
    </w:p>
    <w:p>
      <w:r>
        <w:t xml:space="preserve">Außerdem trägt die versicherungsmathematische Funktion zur eigenen Risikobeurteilung nach § 234d bei. § 31 Absatz 1 Satz 2 Nummer 6 sowie Absatz 2 Satz 3 und 4 ist nicht anzuwenden.</w:t>
      </w:r>
    </w:p>
    <w:p>
      <w:r>
        <w:t xml:space="preserve">(6) Die versicherungsmathematische Funktion kann entfallen, wenn die Pensionskasse</w:t>
      </w:r>
    </w:p>
    <w:p>
      <w:pPr>
        <w:ind w:left="420"/>
      </w:pPr>
      <w:r>
        <w:t xml:space="preserve">1. keine biometrischen Risiken selbst abdeckt und</w:t>
      </w:r>
    </w:p>
    <w:p>
      <w:pPr>
        <w:ind w:left="420"/>
      </w:pPr>
      <w:r>
        <w:t xml:space="preserve">2. weder Anlageergebnisse noch eine bestimmte Höhe der Leistungen garantiert.</w:t>
      </w:r>
    </w:p>
    <w:p>
      <w:r>
        <w:t xml:space="preserve">(7) Personen oder Stellen, an die eine Schlüsselfunktion ausgegliedert wird, müssen die Anforderungen des § 24 Absatz 1 entsprechend erfüllen.</w:t>
      </w:r>
    </w:p>
    <w:p>
      <w:r>
        <w:rPr>
          <w:color w:val="555555"/>
          <w:sz w:val="17"/>
        </w:rPr>
        <w:t xml:space="preserve">Zitiervorschlag: § 234b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https://recht.nulegal.eu/gesetze/VAG%202016/234b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