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234a VAG 2016 — Ergänzende allgemeine Vorschriften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Geschäftsorganisation einer Pensionskasse muss über § 23 Absatz 1 hinaus auch der Größenordnung ihrer Tätigkeiten angemessen sein. Die Geschäftsorganisation ist darauf abzustimmen, ob und auf welche Weise ökologische, soziale und die Unternehmensführung betreffende Faktoren in Bezug auf die Vermögenswerte bei Anlageentscheidungen berücksichtigt werden.</w:t>
      </w:r>
    </w:p>
    <w:p>
      <w:r>
        <w:t xml:space="preserve">(2) Für Pensionskassen gilt § 23 Absatz 1a bis 1c nicht.</w:t>
      </w:r>
    </w:p>
    <w:p>
      <w:r>
        <w:t xml:space="preserve">(3) Die internen Leitlinien nach § 23 Absatz 3 haben auch Vorgaben zu einer bestehenden versicherungsmathematischen Funktion zu machen. Abweichend von § 23 Absatz 3 Satz 3 genügt es, wenn Pensionskassen die Leitlinien mindestens alle drei Jahre überprüfen.</w:t>
      </w:r>
    </w:p>
    <w:p>
      <w:r>
        <w:t xml:space="preserve">(4) Besonderheiten im Hinblick auf eine Besetzung des Aufsichtsrats durch Vertreter der Arbeitgeber und der Arbeitnehmer der Trägerunternehmen sind zu berücksichtigen.</w:t>
      </w:r>
    </w:p>
    <w:p>
      <w:r>
        <w:t xml:space="preserve">(5) Die Vergütungssysteme im Sinne des § 25 müssen der Größe und der internen Organisation der Pensionskasse sowie der Größenordnung, der Art, dem Umfang und der Komplexität ihrer Geschäftstätigkeiten angemessen sein.</w:t>
      </w:r>
    </w:p>
    <w:p>
      <w:r>
        <w:t xml:space="preserve">(6) § 28 Absatz 1 ist nicht anzuwenden.</w:t>
      </w:r>
    </w:p>
    <w:p>
      <w:r>
        <w:t xml:space="preserve">(7) Für das interne Kontrollsystem gilt § 29 Absatz 1 Satz 2 und Absatz 2 bis 4 nicht.</w:t>
      </w:r>
    </w:p>
    <w:p>
      <w:r>
        <w:rPr>
          <w:color w:val="555555"/>
          <w:sz w:val="17"/>
        </w:rPr>
        <w:t xml:space="preserve">Zitiervorschlag: § 234a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https://recht.nulegal.eu/gesetze/VAG%202016/234a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234a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