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231 VAG 2016 — Zwangsmittel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Sicherungsfonds kann seine Anordnungen nach den Bestimmungen des Verwaltungs-Vollstreckungsgesetzes durchsetzen.</w:t>
      </w:r>
    </w:p>
    <w:p>
      <w:r>
        <w:t xml:space="preserve">(2) Die Höhe des Zwangsgeldes beträgt bei Maßnahmen gemäß § 226 Absatz 1 und 5 Satz 1 sowie § 228 Absatz 1 bis zu fünfzigtausend Euro.</w:t>
      </w:r>
    </w:p>
    <w:p>
      <w:r>
        <w:rPr>
          <w:color w:val="555555"/>
          <w:sz w:val="17"/>
        </w:rPr>
        <w:t xml:space="preserve">Zitiervorschlag: § 231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https://recht.nulegal.eu/gesetze/VAG%202016/231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