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218 VAG 2016 — Sterbekassen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Sterbekassen sind Lebensversicherungsunternehmen, die nach ihrem Geschäftsplan nur Todesfallrisiken im Inland versichern, soweit der Betrag ihrer Leistungen den Durchschnittswert der Bestattungskosten bei einem Todesfall nicht übersteigt oder diese Leistungen in Sachwerten erbracht werden.</w:t>
      </w:r>
    </w:p>
    <w:p>
      <w:r>
        <w:t xml:space="preserve">(2) Sterbekassen dürfen nicht die in § 1 Absatz 2 genannten Geschäfte betreiben.</w:t>
      </w:r>
    </w:p>
    <w:p>
      <w:r>
        <w:rPr>
          <w:color w:val="555555"/>
          <w:sz w:val="17"/>
        </w:rPr>
        <w:t xml:space="preserve">Zitiervorschlag: § 218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