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 VAG 2016 — Verordnungsermächtigung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durch Rechtsverordnung Vorschriften für kleine Versicherungsunternehmen zu erlassen</w:t>
      </w:r>
    </w:p>
    <w:p>
      <w:pPr>
        <w:ind w:left="420"/>
      </w:pPr>
      <w:r>
        <w:t xml:space="preserve">1. über die Berechnung und Höhe der Solvabilitätskapitalanforderung,</w:t>
      </w:r>
    </w:p>
    <w:p>
      <w:pPr>
        <w:ind w:left="420"/>
      </w:pPr>
      <w:r>
        <w:t xml:space="preserve">2. über den für die einzelnen Versicherungssparten maßgebenden Mindestbetrag der Mindestkapitalanforderung sowie über seine Berechnung,</w:t>
      </w:r>
    </w:p>
    <w:p>
      <w:pPr>
        <w:ind w:left="420"/>
      </w:pPr>
      <w:r>
        <w:t xml:space="preserve">3. darüber, wie bei Lebensversicherungsunternehmen nicht in der Bilanz ausgewiesene Eigenmittel errechnet werden und in welchem Umfang sie auf die Solvabilitätskapitalanforderung und die Mindestkapitalanforderung angerechnet werden dürfen,</w:t>
      </w:r>
    </w:p>
    <w:p>
      <w:pPr>
        <w:ind w:left="420"/>
      </w:pPr>
      <w:r>
        <w:t xml:space="preserve">4. über den Inhalt, die Form und die Stückzahl der gemäß § 216 zu erstellenden Solvabilitätsübersicht und des Berichts über die Vermögensanlagen sowie die Frist für die Einreichung bei der Aufsichtsbehörde,</w:t>
      </w:r>
    </w:p>
    <w:p>
      <w:pPr>
        <w:ind w:left="420"/>
      </w:pPr>
      <w:r>
        <w:t xml:space="preserve">5. über die Art und Weise der Datenübermittlung, die zu verwendenden Datenformate sowie die einzuhaltende Datenqualität,</w:t>
      </w:r>
    </w:p>
    <w:p>
      <w:pPr>
        <w:ind w:left="420"/>
      </w:pPr>
      <w:r>
        <w:t xml:space="preserve">6. über quantitative und qualitative Vorgaben zur Anlage des Sicherungsvermögens nach Maßgabe des § 215 Absatz 1 und 2 Satz 1; die Verordnung kann die Anlage in sonstigen Anlagen zulassen, wenn diese vergleichbare Sicherheit und Liquidität besitzen wie die in § 215 Absatz 2 Satz 1 Nummer 1 bis 7 genannten Anlagen,</w:t>
      </w:r>
    </w:p>
    <w:p>
      <w:pPr>
        <w:ind w:left="420"/>
      </w:pPr>
      <w:r>
        <w:t xml:space="preserve">7. über einen oder mehrere Höchstwerte für den Rechnungszins bei Versicherungsverträgen mit Zinsgarantie,</w:t>
      </w:r>
    </w:p>
    <w:p>
      <w:pPr>
        <w:ind w:left="420"/>
      </w:pPr>
      <w:r>
        <w:t xml:space="preserve">8. über weitere Vorgaben zur Ermittlung der Diskontierungszinssätze nach § 341f Absatz 2 des Handelsgesetzbuchs,</w:t>
      </w:r>
    </w:p>
    <w:p>
      <w:pPr>
        <w:ind w:left="420"/>
      </w:pPr>
      <w:r>
        <w:t xml:space="preserve">9. über die Höchstbeträge für die Zillmerung und</w:t>
      </w:r>
    </w:p>
    <w:p>
      <w:pPr>
        <w:ind w:left="420"/>
      </w:pPr>
      <w:r>
        <w:t xml:space="preserve">10. über die versicherungsmathematischen Rechnungsgrundlagen und die Bewertungsansätze für die Deckungsrückstellung.</w:t>
      </w:r>
    </w:p>
    <w:p>
      <w:r>
        <w:t xml:space="preserve">Das Bundesministerium der Finanzen kann die Ermächtigungen nach Satz 1 Nummer 1 bis 5 durch Rechtsverordnung auf die Bundesanstalt übertragen. Rechtsverordnungen nach den Sätzen 1 und 2 bedürfen nicht der Zustimmung des Bundesrates. Rechtsverordnungen nach Satz 1 Nummer 6 bis 10 sind im Einvernehmen mit dem Bundesministerium der Justiz und für Verbraucherschutz zu erlassen.</w:t>
      </w:r>
    </w:p>
    <w:p>
      <w:r>
        <w:rPr>
          <w:color w:val="555555"/>
          <w:sz w:val="17"/>
        </w:rPr>
        <w:t xml:space="preserve">Zitiervorschlag: § 217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